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f-3.htm"/>
      <w:bookmarkStart w:id="1" w:name="ksformf3"/>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F-3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ENIGMATIG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2495"/>
        <w:gridCol w:w="60"/>
        <w:gridCol w:w="189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8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tc>
      </w:tr>
      <w:tr>
        <w:trPr/>
        <w:tc>
          <w:tcPr>
            <w:tcW w:w="24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Raffles Quay,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#30-01, Hong Leong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048581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+65 6022 0493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and telephone number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East 42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xml:space="preserve"> Street, 18</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10168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(800) 221-0102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Y. Liu,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Rimon, P.C.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 Madison Ave, Suite 11D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(718) 504-9773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of proposed sale to the public: From time to time after the effective date of this Registration Statement as determined in light of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743200" cy="4483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44831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ENIGMATIG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$100,000,000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Class A Ordinary Shares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Preferred Shares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Warrants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Rights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ENIGMATIG LIMITED (“we,” “us,” “our,” “Enigmatig” or the “Company”) may offer and sell up to US$100,000,000 in the aggregate of our Class A ordinary shares, par value US$0.000002 per share (“Class A ordinary shares”), preferred shares, debt securities, warrants to subscribe for Class A ordinary shares, rights to subscribe for Class A ordinary shares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and units consisting of any combination of the other types of securities offered under this prospectus from time to time in one or more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I.B.5. of Form F-3, in no event will we sell the securities covered hereby in a public primary offering with a value exceeding more than one-third of the aggregate market value of our Class A ordinary shares in any 12-month period so long as the aggregate market value of our issued and outstanding Class A ordinary shares held by non-affiliates, or our public float, remains below US$75 million. As of the date of this prospectus, our public float was below US$75 million. During the 12 calendar months prior to and including the date of this prospectus, we have not offered or sold any securities pursuant to General Instruction I.B.5 of Form F-3.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This prospectus may not be used to sell our securities unless accompanied by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add, update or change the information contained in this prospectus from time to time by incorporating by reference any document or filing a prospectus supplement, as required. You should read this entire prospectus, together with the documents we incorporate by reference, and any applicable prospectus supplement carefully before you make your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the securities described in this prospectus and any prospectus supplement to or through one or more underwriters, dealers, agents or other third parties, or directly to purchasers, or through a combination of these methods. If any third parties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w:t>
      </w:r>
      <w:r>
        <w:rPr>
          <w:rFonts w:ascii="Times New Roman;Times;Serif" w:hAnsi="Times New Roman;Times;Serif"/>
          <w:b w:val="false"/>
          <w:i/>
          <w:caps w:val="false"/>
          <w:smallCaps w:val="false"/>
          <w:sz w:val="20"/>
        </w:rPr>
        <w:t>About this Prospectus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traded on the NYSE American Market (“NYSE American”) under the symbol “EGG.” On September 2, 2026, the closing price of our Class A ordinary shares on NYSE American were US$2.76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both an “emerging growth company” and a “foreign private issuer” as defined under the U.S. federal securities laws and, as such, may elect to comply with certain reduced public company disclosure and reporting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SEE THE “RISK FACTORS” ON PAGE 5 OF THIS PROSPECTUS AND ANY SIMILAR SECTION CONTAINED IN THE APPLICABLE PROSPECTUS SUPPLEMENT CONCERNING FACTORS YOU SHOULD CONSIDER BEFORE INVESTING IN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6245"/>
        <w:gridCol w:w="245"/>
      </w:tblGrid>
      <w:tr>
        <w:trPr/>
        <w:tc>
          <w:tcPr>
            <w:tcW w:w="6245" w:type="dxa"/>
            <w:tcBorders/>
            <w:shd w:fill="CCEEFF" w:val="clear"/>
            <w:vAlign w:val="center"/>
          </w:tcPr>
          <w:p>
            <w:pPr>
              <w:pStyle w:val="TableContents"/>
              <w:bidi w:val="0"/>
              <w:spacing w:before="0" w:after="283"/>
              <w:jc w:val="both"/>
              <w:rPr/>
            </w:pPr>
            <w:hyperlink w:anchor="Aa_001">
              <w:r>
                <w:rPr>
                  <w:rStyle w:val="InternetLink"/>
                  <w:rFonts w:ascii="Times New Roman;Times;Serif" w:hAnsi="Times New Roman;Times;Serif"/>
                  <w:b w:val="false"/>
                  <w:i w:val="false"/>
                  <w:caps w:val="false"/>
                  <w:smallCaps w:val="false"/>
                  <w:sz w:val="20"/>
                </w:rPr>
                <w:t>ABOUT THIS PROSPECTUS</w:t>
              </w:r>
            </w:hyperlink>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245" w:type="dxa"/>
            <w:tcBorders/>
            <w:shd w:fill="FFFFFF" w:val="clear"/>
            <w:vAlign w:val="center"/>
          </w:tcPr>
          <w:p>
            <w:pPr>
              <w:pStyle w:val="TableContents"/>
              <w:bidi w:val="0"/>
              <w:spacing w:before="0" w:after="283"/>
              <w:jc w:val="both"/>
              <w:rPr/>
            </w:pPr>
            <w:hyperlink w:anchor="Aa_002">
              <w:r>
                <w:rPr>
                  <w:rStyle w:val="InternetLink"/>
                  <w:rFonts w:ascii="Times New Roman;Times;Serif" w:hAnsi="Times New Roman;Times;Serif"/>
                  <w:b w:val="false"/>
                  <w:i w:val="false"/>
                  <w:caps w:val="false"/>
                  <w:smallCaps w:val="false"/>
                  <w:sz w:val="20"/>
                </w:rPr>
                <w:t>CAUTIONARY NOTE REGARDING FORWARD-LOOKING STATEMENTS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6245" w:type="dxa"/>
            <w:tcBorders/>
            <w:shd w:fill="CCEEFF" w:val="clear"/>
            <w:vAlign w:val="center"/>
          </w:tcPr>
          <w:p>
            <w:pPr>
              <w:pStyle w:val="TableContents"/>
              <w:bidi w:val="0"/>
              <w:spacing w:before="0" w:after="283"/>
              <w:jc w:val="both"/>
              <w:rPr/>
            </w:pPr>
            <w:hyperlink w:anchor="Aa_003">
              <w:r>
                <w:rPr>
                  <w:rStyle w:val="InternetLink"/>
                  <w:rFonts w:ascii="Times New Roman;Times;Serif" w:hAnsi="Times New Roman;Times;Serif"/>
                  <w:b w:val="false"/>
                  <w:i w:val="false"/>
                  <w:caps w:val="false"/>
                  <w:smallCaps w:val="false"/>
                  <w:sz w:val="20"/>
                </w:rPr>
                <w:t>PROSPECTUS SUMMARY</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245" w:type="dxa"/>
            <w:tcBorders/>
            <w:shd w:fill="FFFFFF" w:val="clear"/>
            <w:vAlign w:val="center"/>
          </w:tcPr>
          <w:p>
            <w:pPr>
              <w:pStyle w:val="TableContents"/>
              <w:bidi w:val="0"/>
              <w:spacing w:before="0" w:after="283"/>
              <w:jc w:val="both"/>
              <w:rPr/>
            </w:pPr>
            <w:hyperlink w:anchor="Aa_004">
              <w:r>
                <w:rPr>
                  <w:rStyle w:val="InternetLink"/>
                  <w:rFonts w:ascii="Times New Roman;Times;Serif" w:hAnsi="Times New Roman;Times;Serif"/>
                  <w:b w:val="false"/>
                  <w:i w:val="false"/>
                  <w:caps w:val="false"/>
                  <w:smallCaps w:val="false"/>
                  <w:sz w:val="20"/>
                </w:rPr>
                <w:t>OUR COMPANY</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245" w:type="dxa"/>
            <w:tcBorders/>
            <w:shd w:fill="CCEEFF" w:val="clear"/>
            <w:vAlign w:val="center"/>
          </w:tcPr>
          <w:p>
            <w:pPr>
              <w:pStyle w:val="TableContents"/>
              <w:bidi w:val="0"/>
              <w:spacing w:before="0" w:after="283"/>
              <w:jc w:val="both"/>
              <w:rPr/>
            </w:pPr>
            <w:hyperlink w:anchor="Aa_005">
              <w:r>
                <w:rPr>
                  <w:rStyle w:val="InternetLink"/>
                  <w:rFonts w:ascii="Times New Roman;Times;Serif" w:hAnsi="Times New Roman;Times;Serif"/>
                  <w:b w:val="false"/>
                  <w:i w:val="false"/>
                  <w:caps w:val="false"/>
                  <w:smallCaps w:val="false"/>
                  <w:sz w:val="20"/>
                </w:rPr>
                <w:t>RISK FACTORS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245" w:type="dxa"/>
            <w:tcBorders/>
            <w:shd w:fill="FFFFFF" w:val="clear"/>
            <w:vAlign w:val="center"/>
          </w:tcPr>
          <w:p>
            <w:pPr>
              <w:pStyle w:val="TableContents"/>
              <w:bidi w:val="0"/>
              <w:spacing w:before="0" w:after="283"/>
              <w:jc w:val="both"/>
              <w:rPr/>
            </w:pPr>
            <w:hyperlink w:anchor="Aa_006">
              <w:r>
                <w:rPr>
                  <w:rStyle w:val="InternetLink"/>
                  <w:rFonts w:ascii="Times New Roman;Times;Serif" w:hAnsi="Times New Roman;Times;Serif"/>
                  <w:b w:val="false"/>
                  <w:i w:val="false"/>
                  <w:caps w:val="false"/>
                  <w:smallCaps w:val="false"/>
                  <w:sz w:val="20"/>
                </w:rPr>
                <w:t>USE OF PROCEEDS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245" w:type="dxa"/>
            <w:tcBorders/>
            <w:shd w:fill="CCEEFF" w:val="clear"/>
            <w:vAlign w:val="center"/>
          </w:tcPr>
          <w:p>
            <w:pPr>
              <w:pStyle w:val="TableContents"/>
              <w:bidi w:val="0"/>
              <w:spacing w:before="0" w:after="283"/>
              <w:jc w:val="both"/>
              <w:rPr/>
            </w:pPr>
            <w:hyperlink w:anchor="Aa_007">
              <w:r>
                <w:rPr>
                  <w:rStyle w:val="InternetLink"/>
                  <w:rFonts w:ascii="Times New Roman;Times;Serif" w:hAnsi="Times New Roman;Times;Serif"/>
                  <w:b w:val="false"/>
                  <w:i w:val="false"/>
                  <w:caps w:val="false"/>
                  <w:smallCaps w:val="false"/>
                  <w:sz w:val="20"/>
                </w:rPr>
                <w:t>CAPITALIZATION</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245" w:type="dxa"/>
            <w:tcBorders/>
            <w:shd w:fill="FFFFFF" w:val="clear"/>
            <w:vAlign w:val="center"/>
          </w:tcPr>
          <w:p>
            <w:pPr>
              <w:pStyle w:val="TableContents"/>
              <w:bidi w:val="0"/>
              <w:spacing w:before="0" w:after="283"/>
              <w:jc w:val="both"/>
              <w:rPr/>
            </w:pPr>
            <w:hyperlink w:anchor="Aa_008">
              <w:r>
                <w:rPr>
                  <w:rStyle w:val="InternetLink"/>
                  <w:rFonts w:ascii="Times New Roman;Times;Serif" w:hAnsi="Times New Roman;Times;Serif"/>
                  <w:b w:val="false"/>
                  <w:i w:val="false"/>
                  <w:caps w:val="false"/>
                  <w:smallCaps w:val="false"/>
                  <w:sz w:val="20"/>
                </w:rPr>
                <w:t>DESCRIPTION OF SHARE CAPITAL</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245" w:type="dxa"/>
            <w:tcBorders/>
            <w:shd w:fill="CCEEFF" w:val="clear"/>
            <w:vAlign w:val="center"/>
          </w:tcPr>
          <w:p>
            <w:pPr>
              <w:pStyle w:val="TableContents"/>
              <w:bidi w:val="0"/>
              <w:spacing w:before="0" w:after="283"/>
              <w:jc w:val="both"/>
              <w:rPr/>
            </w:pPr>
            <w:hyperlink w:anchor="Aa_009">
              <w:r>
                <w:rPr>
                  <w:rStyle w:val="InternetLink"/>
                  <w:rFonts w:ascii="Times New Roman;Times;Serif" w:hAnsi="Times New Roman;Times;Serif"/>
                  <w:b w:val="false"/>
                  <w:i w:val="false"/>
                  <w:caps w:val="false"/>
                  <w:smallCaps w:val="false"/>
                  <w:sz w:val="20"/>
                </w:rPr>
                <w:t>DESCRIPTION OF PREFERRED SHARES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245" w:type="dxa"/>
            <w:tcBorders/>
            <w:shd w:fill="FFFFFF" w:val="clear"/>
            <w:vAlign w:val="center"/>
          </w:tcPr>
          <w:p>
            <w:pPr>
              <w:pStyle w:val="TableContents"/>
              <w:bidi w:val="0"/>
              <w:spacing w:before="0" w:after="283"/>
              <w:jc w:val="both"/>
              <w:rPr/>
            </w:pPr>
            <w:hyperlink w:anchor="Aa_010">
              <w:r>
                <w:rPr>
                  <w:rStyle w:val="InternetLink"/>
                  <w:rFonts w:ascii="Times New Roman;Times;Serif" w:hAnsi="Times New Roman;Times;Serif"/>
                  <w:b w:val="false"/>
                  <w:i w:val="false"/>
                  <w:caps w:val="false"/>
                  <w:smallCaps w:val="false"/>
                  <w:sz w:val="20"/>
                </w:rPr>
                <w:t>DESCRIPTION OF DEBT SECURITIES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6245" w:type="dxa"/>
            <w:tcBorders/>
            <w:shd w:fill="CCEEFF" w:val="clear"/>
            <w:vAlign w:val="center"/>
          </w:tcPr>
          <w:p>
            <w:pPr>
              <w:pStyle w:val="TableContents"/>
              <w:bidi w:val="0"/>
              <w:spacing w:before="0" w:after="283"/>
              <w:jc w:val="both"/>
              <w:rPr/>
            </w:pPr>
            <w:hyperlink w:anchor="Aa_011">
              <w:r>
                <w:rPr>
                  <w:rStyle w:val="InternetLink"/>
                  <w:rFonts w:ascii="Times New Roman;Times;Serif" w:hAnsi="Times New Roman;Times;Serif"/>
                  <w:b w:val="false"/>
                  <w:i w:val="false"/>
                  <w:caps w:val="false"/>
                  <w:smallCaps w:val="false"/>
                  <w:sz w:val="20"/>
                </w:rPr>
                <w:t>DESCRIPTION OF WARRANTS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245" w:type="dxa"/>
            <w:tcBorders/>
            <w:shd w:fill="FFFFFF" w:val="clear"/>
            <w:vAlign w:val="center"/>
          </w:tcPr>
          <w:p>
            <w:pPr>
              <w:pStyle w:val="TableContents"/>
              <w:bidi w:val="0"/>
              <w:spacing w:before="0" w:after="283"/>
              <w:jc w:val="both"/>
              <w:rPr/>
            </w:pPr>
            <w:hyperlink w:anchor="Aa_012">
              <w:r>
                <w:rPr>
                  <w:rStyle w:val="InternetLink"/>
                  <w:rFonts w:ascii="Times New Roman;Times;Serif" w:hAnsi="Times New Roman;Times;Serif"/>
                  <w:b w:val="false"/>
                  <w:i w:val="false"/>
                  <w:caps w:val="false"/>
                  <w:smallCaps w:val="false"/>
                  <w:sz w:val="20"/>
                </w:rPr>
                <w:t>DESCRIPTION OF RIGHTS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245" w:type="dxa"/>
            <w:tcBorders/>
            <w:shd w:fill="CCEEFF" w:val="clear"/>
            <w:vAlign w:val="center"/>
          </w:tcPr>
          <w:p>
            <w:pPr>
              <w:pStyle w:val="TableContents"/>
              <w:bidi w:val="0"/>
              <w:spacing w:before="0" w:after="283"/>
              <w:jc w:val="both"/>
              <w:rPr/>
            </w:pPr>
            <w:hyperlink w:anchor="Aa_013">
              <w:r>
                <w:rPr>
                  <w:rStyle w:val="InternetLink"/>
                  <w:rFonts w:ascii="Times New Roman;Times;Serif" w:hAnsi="Times New Roman;Times;Serif"/>
                  <w:b w:val="false"/>
                  <w:i w:val="false"/>
                  <w:caps w:val="false"/>
                  <w:smallCaps w:val="false"/>
                  <w:sz w:val="20"/>
                </w:rPr>
                <w:t>DESCRIPTION OF UNITS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245" w:type="dxa"/>
            <w:tcBorders/>
            <w:shd w:fill="FFFFFF" w:val="clear"/>
            <w:vAlign w:val="center"/>
          </w:tcPr>
          <w:p>
            <w:pPr>
              <w:pStyle w:val="TableContents"/>
              <w:bidi w:val="0"/>
              <w:spacing w:before="0" w:after="283"/>
              <w:jc w:val="both"/>
              <w:rPr/>
            </w:pPr>
            <w:hyperlink w:anchor="Aa_014">
              <w:r>
                <w:rPr>
                  <w:rStyle w:val="InternetLink"/>
                  <w:rFonts w:ascii="Times New Roman;Times;Serif" w:hAnsi="Times New Roman;Times;Serif"/>
                  <w:b w:val="false"/>
                  <w:i w:val="false"/>
                  <w:caps w:val="false"/>
                  <w:smallCaps w:val="false"/>
                  <w:sz w:val="20"/>
                </w:rPr>
                <w:t>TAXATION</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245" w:type="dxa"/>
            <w:tcBorders/>
            <w:shd w:fill="CCEEFF" w:val="clear"/>
            <w:vAlign w:val="center"/>
          </w:tcPr>
          <w:p>
            <w:pPr>
              <w:pStyle w:val="TableContents"/>
              <w:bidi w:val="0"/>
              <w:spacing w:before="0" w:after="283"/>
              <w:jc w:val="both"/>
              <w:rPr/>
            </w:pPr>
            <w:hyperlink w:anchor="Aa_015">
              <w:r>
                <w:rPr>
                  <w:rStyle w:val="InternetLink"/>
                  <w:rFonts w:ascii="Times New Roman;Times;Serif" w:hAnsi="Times New Roman;Times;Serif"/>
                  <w:b w:val="false"/>
                  <w:i w:val="false"/>
                  <w:caps w:val="false"/>
                  <w:smallCaps w:val="false"/>
                  <w:sz w:val="20"/>
                </w:rPr>
                <w:t>PLAN OF DISTRIBUTION</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245" w:type="dxa"/>
            <w:tcBorders/>
            <w:shd w:fill="FFFFFF" w:val="clear"/>
            <w:vAlign w:val="center"/>
          </w:tcPr>
          <w:p>
            <w:pPr>
              <w:pStyle w:val="TableContents"/>
              <w:bidi w:val="0"/>
              <w:spacing w:before="0" w:after="283"/>
              <w:jc w:val="both"/>
              <w:rPr/>
            </w:pPr>
            <w:hyperlink w:anchor="Aa_016">
              <w:r>
                <w:rPr>
                  <w:rStyle w:val="InternetLink"/>
                  <w:rFonts w:ascii="Times New Roman;Times;Serif" w:hAnsi="Times New Roman;Times;Serif"/>
                  <w:b w:val="false"/>
                  <w:i w:val="false"/>
                  <w:caps w:val="false"/>
                  <w:smallCaps w:val="false"/>
                  <w:sz w:val="20"/>
                </w:rPr>
                <w:t>EXPENSES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245" w:type="dxa"/>
            <w:tcBorders/>
            <w:shd w:fill="CCEEFF" w:val="clear"/>
            <w:vAlign w:val="center"/>
          </w:tcPr>
          <w:p>
            <w:pPr>
              <w:pStyle w:val="TableContents"/>
              <w:bidi w:val="0"/>
              <w:spacing w:before="0" w:after="283"/>
              <w:jc w:val="both"/>
              <w:rPr/>
            </w:pPr>
            <w:hyperlink w:anchor="Aa_017">
              <w:r>
                <w:rPr>
                  <w:rStyle w:val="InternetLink"/>
                  <w:rFonts w:ascii="Times New Roman;Times;Serif" w:hAnsi="Times New Roman;Times;Serif"/>
                  <w:b w:val="false"/>
                  <w:i w:val="false"/>
                  <w:caps w:val="false"/>
                  <w:smallCaps w:val="false"/>
                  <w:sz w:val="20"/>
                </w:rPr>
                <w:t>LEGAL MATTERS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245" w:type="dxa"/>
            <w:tcBorders/>
            <w:shd w:fill="FFFFFF" w:val="clear"/>
            <w:vAlign w:val="center"/>
          </w:tcPr>
          <w:p>
            <w:pPr>
              <w:pStyle w:val="TableContents"/>
              <w:bidi w:val="0"/>
              <w:spacing w:before="0" w:after="283"/>
              <w:jc w:val="both"/>
              <w:rPr/>
            </w:pPr>
            <w:hyperlink w:anchor="Aa_018">
              <w:r>
                <w:rPr>
                  <w:rStyle w:val="InternetLink"/>
                  <w:rFonts w:ascii="Times New Roman;Times;Serif" w:hAnsi="Times New Roman;Times;Serif"/>
                  <w:b w:val="false"/>
                  <w:i w:val="false"/>
                  <w:caps w:val="false"/>
                  <w:smallCaps w:val="false"/>
                  <w:sz w:val="20"/>
                </w:rPr>
                <w:t>EXPERTS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245" w:type="dxa"/>
            <w:tcBorders/>
            <w:shd w:fill="CCEEFF" w:val="clear"/>
            <w:vAlign w:val="center"/>
          </w:tcPr>
          <w:p>
            <w:pPr>
              <w:pStyle w:val="TableContents"/>
              <w:bidi w:val="0"/>
              <w:spacing w:before="0" w:after="283"/>
              <w:jc w:val="both"/>
              <w:rPr/>
            </w:pPr>
            <w:hyperlink w:anchor="Aa_019">
              <w:r>
                <w:rPr>
                  <w:rStyle w:val="InternetLink"/>
                  <w:rFonts w:ascii="Times New Roman;Times;Serif" w:hAnsi="Times New Roman;Times;Serif"/>
                  <w:b w:val="false"/>
                  <w:i w:val="false"/>
                  <w:caps w:val="false"/>
                  <w:smallCaps w:val="false"/>
                  <w:sz w:val="20"/>
                </w:rPr>
                <w:t>ENFORCEABILITY OF CIVIL LIABILITIES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245" w:type="dxa"/>
            <w:tcBorders/>
            <w:shd w:fill="FFFFFF" w:val="clear"/>
            <w:vAlign w:val="center"/>
          </w:tcPr>
          <w:p>
            <w:pPr>
              <w:pStyle w:val="TableContents"/>
              <w:bidi w:val="0"/>
              <w:spacing w:before="0" w:after="283"/>
              <w:jc w:val="both"/>
              <w:rPr/>
            </w:pPr>
            <w:hyperlink w:anchor="Aa_020">
              <w:r>
                <w:rPr>
                  <w:rStyle w:val="InternetLink"/>
                  <w:rFonts w:ascii="Times New Roman;Times;Serif" w:hAnsi="Times New Roman;Times;Serif"/>
                  <w:b w:val="false"/>
                  <w:i w:val="false"/>
                  <w:caps w:val="false"/>
                  <w:smallCaps w:val="false"/>
                  <w:sz w:val="20"/>
                </w:rPr>
                <w:t>INFORMATION INCORPORATED BY REFERENCE</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245" w:type="dxa"/>
            <w:tcBorders/>
            <w:shd w:fill="CCEEFF" w:val="clear"/>
            <w:vAlign w:val="center"/>
          </w:tcPr>
          <w:p>
            <w:pPr>
              <w:pStyle w:val="TableContents"/>
              <w:bidi w:val="0"/>
              <w:spacing w:before="0" w:after="283"/>
              <w:jc w:val="both"/>
              <w:rPr/>
            </w:pPr>
            <w:hyperlink w:anchor="Aa_021">
              <w:r>
                <w:rPr>
                  <w:rStyle w:val="InternetLink"/>
                  <w:rFonts w:ascii="Times New Roman;Times;Serif" w:hAnsi="Times New Roman;Times;Serif"/>
                  <w:b w:val="false"/>
                  <w:i w:val="false"/>
                  <w:caps w:val="false"/>
                  <w:smallCaps w:val="false"/>
                  <w:sz w:val="20"/>
                </w:rPr>
                <w:t>WHERE YOU CAN FIND MORE INFORMATION</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bl>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F-3 filed with the U.S. Securities and Exchange Commission, or the SEC, using a “shelf” registration process for the delayed offering and sale of securities pursuant to Rule 415 under the Securities Act of 1933, as amended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using a shelf registration statement, we may sell securities from time to time and in one or more offerings up to a total dollar amount of US$100,000,000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any document incorporated by reference herein or therein may also add, update or change information contained in this prospectus with respect to that offering. If there is any inconsistency between the information contained in or incorporated by reference into this prospectus and the applicable prospectus supplement, you should rely on the prospectus supplement. This prospectus does not contain all of the information provided in the registration statement that we filed with the SEC. Before purchasing any securities, you should carefully read both this prospectus and the applicable prospectus supplement (and any applicable free writing prospectuses), together with the additional information described under the headings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Information Incorporated by Reference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this prospectus, the information incorporated or deemed to be incorporated by reference in this prospectus and any free writing prospectus prepared by us or on our behalf. We have not authorized anyone to provide you with any information or to make any representations other than those contained in or incorporated by reference into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is incorporated by reference, and any prospectus supplement or free writing prospectus may contain and/or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information incorporated herein by reference may include trademarks, service marks and trade names owned by us or other companies. All trademarks, service marks and trade names included or incorporated by reference into this prospectus are the property of their respective owners.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contained on, or that can be accessed through, our website does not constitute part of this prospectus, any applicable prospectus supplement or any related free writing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unless otherwise indicated or the context otherwise requires, the terms “we,” “us,” “our,” “registrant,” “Company” and “Enigmatig” mean ENIGMATIG LIMITED and its subsidiaries. When we refer to “you,” we mean the potential holders of the applicable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both an “emerging growth company” and a “foreign private issuer” as defined under the U.S. federal securities laws and, as such, may elect to comply with certain reduced public company disclosure and reporting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action is being taken in any jurisdiction outside the United States to permit a public offering of the securities or possession or distribution of this prospectus in that jurisdiction. Persons who come into possession of this prospectus in jurisdictions outside the United States are required to inform themselves about and to observe any restrictions as to an offering pursuant to and the distribution of this prospectus applicable to that jurisdiction.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a_002"/>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(including information incorporated by reference) contains forward-looking statements within the meaning of Section 27A of the Securities Act and Section 21E of the Securities Exchange Act of 1934, as amended (the “Exchange Act”), that involve substantial risks and uncertainties. All statements other than statements of historical facts contained in this prospectus, including statements regarding our future financial position, business strategy and plans and objectives of management for future operations, are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terminology such as “goals,” “targets,” “objectives,” “will,” “projects,” “believe,” “may,” “estimate,” “continue,” “anticipate,” “intend,” “should,” “plan,” “expect,” “predict,” “potential” or the negative of these terms or other similar expressions.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our possible or assumed future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pStyle w:val="TextBody"/>
        <w:bidi w:val="0"/>
        <w:spacing w:before="0" w:after="0"/>
        <w:ind w:left="0" w:right="0" w:firstLine="720"/>
        <w:jc w:val="both"/>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38"/>
        <w:gridCol w:w="17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goals and strategies;</w:t>
            </w:r>
          </w:p>
        </w:tc>
      </w:tr>
    </w:tbl>
    <w:p>
      <w:pPr>
        <w:pStyle w:val="TextBody"/>
        <w:bidi w:val="0"/>
        <w:spacing w:before="0" w:after="0"/>
        <w:ind w:left="1440" w:right="0" w:hanging="720"/>
        <w:jc w:val="both"/>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17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financial condition and results of operations;</w:t>
            </w:r>
          </w:p>
        </w:tc>
      </w:tr>
    </w:tbl>
    <w:p>
      <w:pPr>
        <w:pStyle w:val="TextBody"/>
        <w:bidi w:val="0"/>
        <w:spacing w:before="0" w:after="0"/>
        <w:ind w:left="1440" w:right="0" w:hanging="720"/>
        <w:jc w:val="both"/>
        <w:rPr>
          <w:caps w:val="false"/>
          <w:smallCaps w:val="false"/>
        </w:rPr>
      </w:pPr>
      <w:r>
        <w:rPr>
          <w:caps w:val="false"/>
          <w:smallCaps w:val="false"/>
        </w:rPr>
        <w:t> </w:t>
      </w:r>
    </w:p>
    <w:tbl>
      <w:tblPr>
        <w:tblW w:w="4308" w:type="dxa"/>
        <w:jc w:val="left"/>
        <w:tblInd w:w="0" w:type="dxa"/>
        <w:tblLayout w:type="fixed"/>
        <w:tblCellMar>
          <w:top w:w="0" w:type="dxa"/>
          <w:left w:w="0" w:type="dxa"/>
          <w:bottom w:w="0" w:type="dxa"/>
          <w:right w:w="0" w:type="dxa"/>
        </w:tblCellMar>
      </w:tblPr>
      <w:tblGrid>
        <w:gridCol w:w="38"/>
        <w:gridCol w:w="17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 of new product and service offerings;</w:t>
            </w:r>
          </w:p>
        </w:tc>
      </w:tr>
    </w:tbl>
    <w:p>
      <w:pPr>
        <w:pStyle w:val="TextBody"/>
        <w:bidi w:val="0"/>
        <w:spacing w:before="0" w:after="0"/>
        <w:ind w:left="1440" w:right="0" w:hanging="720"/>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17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changes in our revenues, costs or expenditures;</w:t>
            </w:r>
          </w:p>
        </w:tc>
      </w:tr>
    </w:tbl>
    <w:p>
      <w:pPr>
        <w:pStyle w:val="TextBody"/>
        <w:bidi w:val="0"/>
        <w:spacing w:before="0" w:after="0"/>
        <w:ind w:left="1440" w:right="0" w:hanging="720"/>
        <w:jc w:val="both"/>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demand for and market acceptance of our products and services;</w:t>
            </w:r>
          </w:p>
        </w:tc>
      </w:tr>
    </w:tbl>
    <w:p>
      <w:pPr>
        <w:pStyle w:val="TextBody"/>
        <w:bidi w:val="0"/>
        <w:spacing w:before="0" w:after="0"/>
        <w:ind w:left="1440" w:right="0" w:hanging="720"/>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17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growth of our customers, including consolidated account customers;</w:t>
            </w:r>
          </w:p>
        </w:tc>
      </w:tr>
    </w:tbl>
    <w:p>
      <w:pPr>
        <w:pStyle w:val="TextBody"/>
        <w:bidi w:val="0"/>
        <w:spacing w:before="0" w:after="0"/>
        <w:ind w:left="1440" w:right="0" w:hanging="720"/>
        <w:jc w:val="both"/>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38"/>
        <w:gridCol w:w="17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industry;</w:t>
            </w:r>
          </w:p>
        </w:tc>
      </w:tr>
    </w:tbl>
    <w:p>
      <w:pPr>
        <w:pStyle w:val="TextBody"/>
        <w:bidi w:val="0"/>
        <w:spacing w:before="0" w:after="0"/>
        <w:ind w:left="1440" w:right="0" w:hanging="720"/>
        <w:jc w:val="both"/>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38"/>
        <w:gridCol w:w="17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policies and regulations relating to our industry;</w:t>
            </w:r>
          </w:p>
        </w:tc>
      </w:tr>
    </w:tbl>
    <w:p>
      <w:pPr>
        <w:pStyle w:val="TextBody"/>
        <w:bidi w:val="0"/>
        <w:spacing w:before="0" w:after="0"/>
        <w:ind w:left="1440" w:right="0" w:hanging="720"/>
        <w:jc w:val="both"/>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38"/>
        <w:gridCol w:w="170"/>
        <w:gridCol w:w="7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that may affect our financial condition, liquidity and results of operations;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and uncertainties described in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prospectus and in the documents incorporated by reference into this prospectus.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important factors, in addition to the factors described above and in other sections of this prospectus, could adversely impact our business and financial performance. 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results to differ materially from estimates or forward-looking statements. We qualify all of our estimates and forward-looking statements by these cautionary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goals, targets, expectations and estimates included or incorporated by reference in this prospectus were prepared by the Company’s management team based on information available at the time such information was developed and reflects numerous assumptions that are subject to change, including those related to general business, economic, market, and financial conditions, as well as other factors that are difficult to predict and many of which are beyond the Company’s control. The Company believes the assumptions underlying such goals, targets, expectations and estimates were reasonable at the time such information was prepared. However, important factors may affect actual results and cause the results reflected in such goals, targets, expectations and estimates not to be achieved including, among other things, risks and uncertainties relating to the Company’s business, industry performance, the regulatory environment, and general business and economic conditions, as discussed in the immediately preceding paragraph.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estimates and forward-looking statements made in this prospectus relate only to events or information as of the date on which the statements are made in this prospectus. Except as required by law, we undertake no obligation to update or revise publicly any estimate or forward-looking statements, whether as a result of new information, future events or otherwise, after the date on which the statements are made or to reflect the occurrence of unanticipated events. We caution you against placing undue reliance on forward-looking statements, which reflect current beliefs and are based on information currently available as of the date a forward-looking statement is made. In evaluating our forward-looking statements, you should specifically consider the risks and uncertainties described in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prospectus and in the documents incorporated by reference into this prospectus.</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a_003"/>
      <w:bookmarkEnd w:id="4"/>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provides a brief overview of information contained elsewhere in this prospectus and incorporated by reference. This summary does not contain all of the information that you should consider before investing in our securities. You should read the entire prospectus carefully before making an investment decision, including the information presented under the headings “Risk Factors,” “Cautionary Note Regarding Forward-Looking Statements” and all information incorporated by reference, including our most recent Annual Report on Form 20-F and the accompanying historical consolidated financial statements and the related notes to those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global business enabler supporting companies in achieving their international ambitions. Since 2010, we have provided expertise, infrastructure, and regulatory guidance to help businesses operate and scale across borders. With capabilities spanning licensing, fintech, regtech and other corporate services, Enigmatig delivers tailored solutions across business lifecycle – from incorporation to ongoing compliance. Our team navigates complex regulatory environments across major financial hubs and key offshore centers, including London, Cyprus, and Belize. Our corporate services income is mainly generated from fees we receive assisting our clients obtain, renew and comply with a range of business licenses (primarily including brokerage licenses and other financial licenses) in a variety of jurisdictions (primarily in London, Cyprus and Belize). Most of our clients were headquartered in Asia, primarily including Hong Kong, Malaysia, the UAE, Thailand and mainland China. We service our clients through four global offices located in Singapore, Hong Kong, Shanghai and London, and maintain a desk in Bangkok, Thailand. We derive our corporate services income from sale of our services, including license application and renewal services and corporate secretarial and other services, to our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competitive strengths have contributed to our success to date and will continue to distinguish us from our competitors through:</w:t>
      </w:r>
    </w:p>
    <w:p>
      <w:pPr>
        <w:pStyle w:val="TextBody"/>
        <w:bidi w:val="0"/>
        <w:spacing w:before="0" w:after="0"/>
        <w:ind w:left="0" w:right="0" w:firstLine="72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170"/>
        <w:gridCol w:w="42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broad range of services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Vast network of partners and service providers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presence across Asia-Pacific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Experienced and highly-qualified management team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 is to continue to grow our business by increasing the scale of our current operations and expanding into new services and geographic jurisdictions. We intend to pursue the following strategies to achieve this goal:</w:t>
      </w:r>
    </w:p>
    <w:p>
      <w:pPr>
        <w:pStyle w:val="TextBody"/>
        <w:bidi w:val="0"/>
        <w:spacing w:before="0" w:after="0"/>
        <w:ind w:left="0" w:right="0" w:hanging="0"/>
        <w:jc w:val="both"/>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75"/>
        <w:gridCol w:w="170"/>
        <w:gridCol w:w="66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into new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and diversify our service portfolio and offerings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Capture new market share through aggressive pricing and cross selling of services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Recruit new talent across the region who bring network, expertise and knowledge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in the Cayman Islands as an exempted company with limited liability on May 30, 2023. Our registered office in the Cayman Islands is at c/o Ascentium, 4th Floor, Harbour Place, 103 South Church Street, P.O. Box 10240, Grand Cayman KY1-1002, Cayman Islands. Our principal executive office is at 16 Raffles Quay, #30-01, Hong Leong Building, Singapore 048581. Our telephone number at this location is +65 6862 0769. Our principal website address is www.enigmatig.com. The information contained on our website does not form part of this prospectus. Our agent for service of process in the United States is Cogency Global Inc., 122 East 42nd Street, 18th Floor, New York, NY 10168.</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Structure and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was incorporated in the Cayman Islands on May 30, 2023 under the Companies Act as an exempted company with limited liability. Our authorized share capital was US$50,000 divided into 50,000,000 shares, par value of US$0.001 each at the time of incorporation. On March 11, 2024, shareholders’ resolutions were passed to authorize the re-designation of the Company’s issued and unissued ordinary shares such that the authorized share capital of the Company was changed from US$50,000 divided into 50,000,000 ordinary shares of a nominal or par value of US$0.001 each, to US$50,000 divided into 35,000,000 Class A ordinary Shares of a nominal or par value of US$0.001 each, and 15,000,000 Class B ordinary Shares of a nominal or par value of US$0.001 each. Pursuant to these shareholders’ resolutions, the one Ordinary Share held by Foo Chee Weng Desmond was re-designated to one Class B ordinary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2024, pursuant to the subscription applications and share transfer forms dated 19 August 2024, we issued in aggregate 18,500 Class A ordinary shares of par or nominal value US$0.001 each to Teo Mingwen, Tay Chee Yang and certain other shareholders, as well as 31,499 Class B ordinary shares of par or nominal value US$0.001 each to Foo Chee Weng Desmond, in consideration for them transferring their respective shareholdings in Enigmatig BVI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shareholders’ resolutions were passed to authorize the sub-division of each of the Company’s issued and unissued shares into 500 ordinary shares such that the authorized share capital of the Company was changed from US$50,000 divided into 50,000,000 ordinary shares of a nominal or par value of US$0.001 each, comprising 35,000,000 Class A ordinary shares of a nominal or par value of US$0.001 each, and 15,000,000 Class B ordinary shares of a nominal or par value of US$0.001 each to US$50,000 divided into 25,000,000,000 ordinary shares of a nominal or par value of US$0.000002 each, comprising 17,500,000,000 Class A ordinary shares of a nominal or par value of US$0.000002 each, and 7,500,000,000 Class B ordinary shares of a nominal or par value of US$0.000002 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Corporate Structure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 below illustrates our corporate structure as of the date of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3810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38100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Class B ordinary shares held by Foo Chee Weng Desmond and his percentage ownership of the ordinary shares in ENIGMATIG LIMITED.</w:t>
            </w:r>
          </w:p>
        </w:tc>
      </w:tr>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Class A ordinary shares held by Teo Mingwen, Tay Chee Yang and certain other shareholders, and their aggregated percentage ownership of the ordinary shares in ENIGMATIG LIMITED.</w:t>
            </w:r>
          </w:p>
        </w:tc>
      </w:tr>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ordinary share is entitled to one vote, and each Class B ordinary share is entitled to 10 votes and is convertible into one Class A ordinary share at any time by the holder thereof. Class A ordinary shares are not convertible into Class B ordinary shares under any circumstances.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US$1.235 billion in revenue during our last fiscal year, we qualify as an “emerging growth company” as defined in the Jumpstart Our Business Startups Act of 2012, or the JOBS Act. An emerging growth company may take advantage of specified reduced reporting and other requirements that are otherwise applicable generally to public companies. These provisions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permitted to provide only two years of audited financial statements (rather than three years), in addition to any required unaudited interim financial statements, with correspondingly reduced “Management’s Discussion and Analysis of Financial Condition and Results of Operations” disclosure;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compliance with the auditor attestation requirement of the Sarbanes-Oxley Act of 2002, on the effectiveness of our internal control over financial reporting.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take advantage of these reporting exemptions until we are no longer an emerging growth company. We will remain an emerging growth company until the earliest of (1) the last day of the fiscal year in which the fifth anniversary of the completion of our IPO, (2) the last day of the fiscal year in which we have total annual gross revenue of at least US$1.235 billion, (3) the date on which we are deemed to be a “large accelerated filer” under the Exchange Act, which means the market value of our Class A ordinary shares that are held by non-affiliates exceeds US$700.0 million as of the last business day of our second fiscal quarter, and (4) the date on which we have issued more than US$1.0 billion in non-convertible debt during the prior three-year period. We may choose to take advantage of some, but not all, of the available exemptions. We have included two years of selected financial data in this prospectus in reliance on the first exemption described above. Accordingly, the information contained herein may be different from the information you receive from other public companies in which you hold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 Foreign Private Issuer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within the meaning of the rules under the Exchange Act. Even after we no longer qualify as an emerging growth company, as long as we qualify as a foreign private issuer under the Exchange Act, we will be exempt from certain provisions of the Exchange Act that are applicable to U.S. domestic public companies,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regulating the solicitation of proxies, consents or authorizations in respect of a security registered under the Exchange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requiring insiders to file public reports of their stock ownership and trading activities and liability for insiders who profit from trades made in a short period of time;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requiring the filing with the SEC of quarterly reports on Form 10-Q containing unaudited financial and other specified information, or current reports on Form 8-K, upon the occurrence of specified significant events.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emerging growth companies nor foreign private issuers.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company incorporated in the Cayman Islands, we are permitted to adopt certain home country practices in relation to corporate governance matters that differ significantly from the corporate governance listing requirements of the NYSE American, We rely on home country practice to be exempted from certain of the corporate governance requirements of NYSE American, such that a majority of our directors, or directors on our board of directors, or the Board, are not required to be independent directors.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 w:right="0" w:hanging="0"/>
        <w:jc w:val="center"/>
        <w:rPr>
          <w:rFonts w:ascii="Times New Roman;Times;Serif" w:hAnsi="Times New Roman;Times;Serif"/>
          <w:b/>
          <w:i w:val="false"/>
          <w:caps w:val="false"/>
          <w:smallCaps w:val="false"/>
          <w:sz w:val="20"/>
        </w:rPr>
      </w:pPr>
      <w:bookmarkStart w:id="5" w:name="Aa_004"/>
      <w:bookmarkEnd w:id="5"/>
      <w:r>
        <w:rPr>
          <w:rFonts w:ascii="Times New Roman;Times;Serif" w:hAnsi="Times New Roman;Times;Serif"/>
          <w:b/>
          <w:i w:val="false"/>
          <w:caps w:val="false"/>
          <w:smallCaps w:val="false"/>
          <w:sz w:val="20"/>
        </w:rPr>
        <w:t>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our company, including our business, is incorporated by reference into this prospectus from our most recent Annual Report on Form 20-F and our updates to such information in our reports on Form 6-K, as described under the section entitled “Information Incorporated by Reference.”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a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any securities offered pursuant to this prospectus and the applicable prospectus supplement involves risks. You should carefully consider the risk factors set forth in our most recent Annual Report on Form 20-F incorporated by reference into this prospectus and in our updates, if any, to those risk factors in our reports on Form 6-K incorporated by reference into this prospectus, and all other information contained or incorporated by reference into this prospectus, as updated by our subsequent filings under the Exchange Act of 1934,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a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the securities as set forth in the applicable prospectus supplement(s).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a_007"/>
      <w:bookmarkEnd w:id="8"/>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capitalization and indebtedness will be set forth in a prospectus supplement to this prospectus or in a report of foreign private issuer on Form 6-K subsequently furnished to the SEC and specifically incorporated herein by reference.</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a_008"/>
      <w:bookmarkEnd w:id="9"/>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as an exempted company with limited liability under the laws of the Cayman Islands on May 30, 2023, and our affairs are governed by our amended and restated Memorandum and Articles of Association and the Companies Act (Revised) of the Cayman Islands (which we will refer to as the “Companies Act” under this section) and the common law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our authorized share capital is US$50,000 divided into 25,000,000,000 shares of nominal or par value of US$0.000002 each, comprising of (i) 17,500,000,000 Class A ordinary shares of nominal or par value of US$0.000002 each, (ii) 7,500,000,000 Class B ordinary shares of nominal or par value of US$0.000002 each. As of the date of this prospectus, we have not adopted any equity incentive plan or other share-based compensation arrangement. Our Board is authorised under our Articles to issue shares from authorised but unissued capital, including for use in employee benefit plans, if and when adopted. The following are summaries of material provisions of our amended and restated Memorandum and Articles of Association and the Companies Act insofar as they relate to the material terms of our ordinary shares that will become effective upon the closing of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amended and restated Memorandum and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our amended and restated Memorandum and Articles of Association and of the Companies Act, insofar as they relate to the material terms of our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Objects of Our Company</w:t>
      </w:r>
      <w:r>
        <w:rPr>
          <w:rFonts w:ascii="Times New Roman;Times;Serif" w:hAnsi="Times New Roman;Times;Serif"/>
          <w:b w:val="false"/>
          <w:i w:val="false"/>
          <w:caps w:val="false"/>
          <w:smallCaps w:val="false"/>
          <w:sz w:val="20"/>
        </w:rPr>
        <w:t>. Under our amended and restated Memorandum and Articles of Association, the objects of our company are unrestricted and we have the full power and authority to carry out any object not prohibited by the laws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Ordinary Shares</w:t>
      </w:r>
      <w:r>
        <w:rPr>
          <w:rFonts w:ascii="Times New Roman;Times;Serif" w:hAnsi="Times New Roman;Times;Serif"/>
          <w:b w:val="false"/>
          <w:i w:val="false"/>
          <w:caps w:val="false"/>
          <w:smallCaps w:val="false"/>
          <w:sz w:val="20"/>
        </w:rPr>
        <w:t>. Our ordinary shares are divided into Class A ordinary shares and Class B ordinary shares. Holders of our Class A ordinary shares and Class B ordinary shares will have the same rights except for voting and conversion rights. Each Class A ordinary share shall entitle the holder thereof to one vote on all matters subject to vote at our general meetings and each Class B ordinary share shall entitle the holder thereof to ten votes on all matters subject to vote at our general meetings. Our Class A ordinary shares are issued in registered form and are issued when registered in our register of members. We may not issue shares to bearer. Our shareholders who are non-residents of the Cayman Islands may freely hold and vote their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Conversion. </w:t>
      </w:r>
      <w:r>
        <w:rPr>
          <w:rFonts w:ascii="Times New Roman;Times;Serif" w:hAnsi="Times New Roman;Times;Serif"/>
          <w:b w:val="false"/>
          <w:i w:val="false"/>
          <w:caps w:val="false"/>
          <w:smallCaps w:val="false"/>
          <w:sz w:val="20"/>
        </w:rPr>
        <w:t>Class B ordinary shares may be converted into the same number of Class A ordinary shares at the option of the holders thereof at any time, while Class A ordinary shares cannot be converted into Class B ordinary shares under any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Dividends. </w:t>
      </w:r>
      <w:r>
        <w:rPr>
          <w:rFonts w:ascii="Times New Roman;Times;Serif" w:hAnsi="Times New Roman;Times;Serif"/>
          <w:b w:val="false"/>
          <w:i w:val="false"/>
          <w:caps w:val="false"/>
          <w:smallCaps w:val="false"/>
          <w:sz w:val="20"/>
        </w:rPr>
        <w:t>The holders of our Class A ordinary shares are entitled to such dividends as may be declared by our Board or declared by our shareholders by ordinary resolution (provided that no dividend may be declared by our shareholders which exceeds the amount recommended by our directors). Our amended and restated Memorandum and Articles of Association provide that dividends may be declared and paid out of the funds of the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Voting Rights. </w:t>
      </w:r>
      <w:r>
        <w:rPr>
          <w:rFonts w:ascii="Times New Roman;Times;Serif" w:hAnsi="Times New Roman;Times;Serif"/>
          <w:b w:val="false"/>
          <w:i w:val="false"/>
          <w:caps w:val="false"/>
          <w:smallCaps w:val="false"/>
          <w:sz w:val="20"/>
        </w:rPr>
        <w:t>Holders of Class A ordinary shares and Class B ordinary shares shall, at all times, vote together as one class on all matters submitted to a vote by the members at any general meeting of the Company. Each Class A ordinary share shall be entitled to one vote and each Class B ordinary share shall be entitled to ten votes on all matters subject to the vote at general meetings of our company. Voting at any meeting of shareholders is by show of hands unless a poll (before or on the declaration of the result of the show of hands) is demanded. A poll may be demanded by the chairperson of such meeting or any one or more shareholders who together hold not less than 10% of the votes attaching to the total shares that are present in person or by proxy.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and issued ordinary shares cast at a meeting. A special resolution will be required for important matters such as a change of name or making changes to our amended and restated Memorandum and Articles of Association. Our shareholders may, among other things, divide or combine their shares by ordinary resolution.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General Meetings of Shareholders. </w:t>
      </w:r>
      <w:r>
        <w:rPr>
          <w:rFonts w:ascii="Times New Roman;Times;Serif" w:hAnsi="Times New Roman;Times;Serif"/>
          <w:b w:val="false"/>
          <w:i w:val="false"/>
          <w:caps w:val="false"/>
          <w:smallCaps w:val="false"/>
          <w:sz w:val="20"/>
        </w:rPr>
        <w:t>As a Cayman Islands exempted company, we are not obliged by the Companies Act to call shareholders’ annual general meetings. Our amended and restated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general meetings may be convened by a majority of our Board. Advance notice of at least ten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the issued and outstanding shares in our company entitled to vote at the general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amended and restated Memorandum and Articles of Association provide that upon the requisition of any one or more of our shareholders who together hold, as at the date of deposit of the request, shares which carry in aggregate not less than one-third of the voting rights (on a one vote per share basis) in the share capital of our company, our Board will convene an extraordinary general meeting and put the resolutions so requisitioned to a vote at such meeting. However, our amended and restated Memorandum and Articles of Association do not provide our shareholders with any right to put any proposals before annual general meetings or extraordinary general meetings not called by such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Transfer of Ordinary Shares. </w:t>
      </w:r>
      <w:r>
        <w:rPr>
          <w:rFonts w:ascii="Times New Roman;Times;Serif" w:hAnsi="Times New Roman;Times;Serif"/>
          <w:b w:val="false"/>
          <w:i w:val="false"/>
          <w:caps w:val="false"/>
          <w:smallCaps w:val="false"/>
          <w:sz w:val="20"/>
        </w:rPr>
        <w:t>Subject to the restrictions set out in our amended and restated Memorandum and Articles of Association as set out below, any of our shareholders may transfer all or any of his or her ordinary shares by an instrument of transfer in any usual or common form or any other form approved by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in its absolute discretion, decline to register any transfer of any ordinary share which is not fully paid up or on which we have a lien. Our Board may also decline to register any transfer of any ordinary share unless: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accompanied by the certificate for the ordinary shares to which it relates and such other evidence as our Board may reasonably require to show the right of the transferor to make the transfer;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ordinary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ordinary share is to be transferred does not exceed four;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transferred are free of any lien in favor of the Company;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such maximum sum as the relevant stock exchange may determine to be payable or such lesser sum as our directors may from time to time require is paid to us in respect thereof.</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three months after the date on which the instrument of transfer was lodged, send to each of the transferor and the transferee notice of such refusal.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after compliance with any notice required of the relevant stock exchange, be suspended and the register closed at such times and for such periods as our Board may from time to time determine, provided, however, that the registration of transfers shall not be suspended nor the register closed for more than 30 days in any year as our Board may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Calls on Shares and Forfeiture of Shares</w:t>
      </w:r>
      <w:r>
        <w:rPr>
          <w:rFonts w:ascii="Times New Roman;Times;Serif" w:hAnsi="Times New Roman;Times;Serif"/>
          <w:b w:val="false"/>
          <w:i w:val="false"/>
          <w:caps w:val="false"/>
          <w:smallCaps w:val="false"/>
          <w:sz w:val="20"/>
        </w:rPr>
        <w:t>. Our Board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Repurchase and Surrender of Shares</w:t>
      </w:r>
      <w:r>
        <w:rPr>
          <w:rFonts w:ascii="Times New Roman;Times;Serif" w:hAnsi="Times New Roman;Times;Serif"/>
          <w:b w:val="false"/>
          <w:i w:val="false"/>
          <w:caps w:val="false"/>
          <w:smallCaps w:val="false"/>
          <w:sz w:val="20"/>
        </w:rPr>
        <w:t>. We may issue shares on terms that such shares are subject to redemption, at our option or at the option of the holders of these shares, on such terms and in such manner as may be determined by our Board or by special resolution of our shareholders, in each case subject to the Companies Act (Revised), our Articles and, where applicable, the rules of the Designated Stock Exchange. Our company may also repurchase any of our shares on such terms and in such manner as have been approved by our Board or by an ordinary resolution of our shareholders, or are otherwise authorised by our Articles, in each case subject to the Companies Act (Revised), our Articles and, where applicable, the rules of the Designated Stock Exchange.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Variations of Rights of Shares</w:t>
      </w:r>
      <w:r>
        <w:rPr>
          <w:rFonts w:ascii="Times New Roman;Times;Serif" w:hAnsi="Times New Roman;Times;Serif"/>
          <w:b w:val="false"/>
          <w:i w:val="false"/>
          <w:caps w:val="false"/>
          <w:smallCaps w:val="false"/>
          <w:sz w:val="20"/>
        </w:rPr>
        <w:t xml:space="preserve">. If at any time, our share capital is divided into different classes of shares, the rights attached to any class may be materially adversely varied with the consent in writing of the holders of at least two-thirds (2/3) of the issued shares of that class or with the approval of a resolution passed at least two-thirds of the votes cast by the holders of the shares of that class present and voting in person or by proxy at a separate meeting of such holders. The necessary quorum shall be two persons at least holding or representing by proxy one-third of the issued shares of the relevant class. The rights conferred upon the holders of the shares of any class issued shall not, be deemed to be materially adversely varied by the creation, allotment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or subsequent to them or the redemption or purchase of any shares of any class by the Company. The rights of the holders of shares shall not be deemed to be materially adversely varied by the creation or issue of shares with preferred or other rights including, without limitation, the creation of shares with enhanced or weighted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Additional Shares</w:t>
      </w:r>
      <w:r>
        <w:rPr>
          <w:rFonts w:ascii="Times New Roman;Times;Serif" w:hAnsi="Times New Roman;Times;Serif"/>
          <w:b w:val="false"/>
          <w:i w:val="false"/>
          <w:caps w:val="false"/>
          <w:smallCaps w:val="false"/>
          <w:sz w:val="20"/>
        </w:rPr>
        <w:t>. Our amended and restated Memorandum and Articles of Association authorize our Board to issue additional ordinary shares from time to time as our Board shall determine, to the extent out of available authorized but unissued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of Association also authorize our Board to establish from time to time one or more series of preferred shares and to determine, with respect to any series of preferred shares, the terms and rights of that series, including:</w:t>
      </w:r>
    </w:p>
    <w:p>
      <w:pPr>
        <w:pStyle w:val="TextBody"/>
        <w:bidi w:val="0"/>
        <w:spacing w:before="0" w:after="0"/>
        <w:ind w:left="0" w:right="0" w:firstLine="720"/>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70"/>
        <w:gridCol w:w="58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the series;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series;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rights, dividend rates, conversion rights, voting rights;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terms of redemption and liquidation preferences.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issue preferred shares without action by our shareholders to the extent out of authorized but unissued preferred shares. Issuance of these shares may dilute the voting power of holders of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Inspection of Books and Records</w:t>
      </w:r>
      <w:r>
        <w:rPr>
          <w:rFonts w:ascii="Times New Roman;Times;Serif" w:hAnsi="Times New Roman;Times;Serif"/>
          <w:b w:val="false"/>
          <w:i w:val="false"/>
          <w:caps w:val="false"/>
          <w:smallCaps w:val="false"/>
          <w:sz w:val="20"/>
        </w:rPr>
        <w:t>. Holders of our Class A ordinary shares will have no general right under Cayman Islands law to inspect or obtain copies of our list of shareholders or our corporate records.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Anti-Takeover Provisions</w:t>
      </w:r>
      <w:r>
        <w:rPr>
          <w:rFonts w:ascii="Times New Roman;Times;Serif" w:hAnsi="Times New Roman;Times;Serif"/>
          <w:b w:val="false"/>
          <w:i w:val="false"/>
          <w:caps w:val="false"/>
          <w:smallCaps w:val="false"/>
          <w:sz w:val="20"/>
        </w:rPr>
        <w:t>. Some provisions of our amended and restated Memorandum and Articles of Association may discourage, delay or prevent a change of control of our company or management that shareholders may consider favorable, including provisions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to issue preferred shares in one or more series and to designate the price, rights, preferences, privileges and restrictions of such preferred shares without any further vote or action by our shareholders;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 ability of shareholders to requisition and convene general meetings of shareholders.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amended and restated Memorandum and Articles of Association for a proper purpose and for what they believe in good faith to be in the best interests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Exempted Company</w:t>
      </w:r>
      <w:r>
        <w:rPr>
          <w:rFonts w:ascii="Times New Roman;Times;Serif" w:hAnsi="Times New Roman;Times;Serif"/>
          <w:b w:val="false"/>
          <w:i w:val="false"/>
          <w:caps w:val="false"/>
          <w:smallCaps w:val="false"/>
          <w:sz w:val="20"/>
        </w:rPr>
        <w:t>. 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file an annual return of its shareholders with the Registrar of Companies of the Cayman Islands;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required to open its register of members for inspection;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 (such undertakings are usually given for 20 years in the first instance);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limited duration company;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under, and are governed by, the laws of the Cayman Islands. The corporate statutes of the State of Delaware and the Cayman Islands are similar, and the flexibility available under Cayman Islands law has enabled us to adopt a memorandum and articles of association that will provide shareholders with rights that do not vary in any material respect from those they would enjoy if we were incorporated under Delaware law. Set forth below is a summary of some of the differences between provisions of the Companies Act applicable to us and the laws applicable to companies incorporated in Delaware and their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exempt from certain corporate governance requirements of the NYSE American by virtue of being a foreign private issuer. We intend to follow Cayman Islands corporate governance practices in lieu of the corporate governance requirements of the NYSE American that listed companies must have for as long as we qualify as a foreign private issuer including: (i) provide an annual certification by our chief executive officer that he or she is not aware of any non-compliance with any corporate governance rules of the NYSE American; (ii) have regularly scheduled executive sessions with only independent directors; or (iii) seek shareholder approval for (a) the implementation and material revisions of the terms of share incentive plans; (b) the issuance of more than 1% of our outstanding ordinary shares or more than 1% of our outstanding voting power to a related party; (c) the issuance of more than 20% of our outstanding ordinary shares; and (d) an issuance that would result in a change of control.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fiduciary duties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principal shareholders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proposals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a shareholder has the right to put any proposal before the annual meeting of shareholders, provided it complies with the notice provisions in the governing documents. A special meeting may be called by our board of directors or any other person authorized to do so in the governing documents, but shareholders may be precluded from calling special meetings. The Companies Act provides shareholders with only limited rights to requisition a general meeting, and does not provide shareholders with any right to put any proposal before a general meeting. However, these rights may be provided in a company’s articles of association. Our amended and restated Memorandum and Articles of Association allow any one or more of our shareholders holding shares which carry in aggregate not less than one-third of the total number of votes attaching to all issued and the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(and the right of such shareholders to add resolutions to the agenda of a general meeting), our amended and restated Memorandum and Articles of Association do not provide our shareholders with any other right to put proposals before annual general meetings or extraordinary general meetings. As a Cayman Islands exempted company, we are not obliged by law to call shareholders’ annual 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of assets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a vote of the shareholders is required to approve a sale of assets only when all or substantially all assets are being sold to a person other than a subsidiary of the company. Under Cayman Islands law, generally speaking, shareholder approval is not required for the disposal of assets of an exempted company.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any stock may be made subject to redemption by the corporation at its option, at the option of the holders of that stock or upon the happening of a specified event, provided shares with full voting power remain outstanding. The stock may be made redeemable for cash, property or rights, as specified in the certificate of incorporation or in the resolution of our board of directors providing for the issue of the stock. As permitted by Cayman Islands law and our amended and restated Memorandum and Articles of Association, we may issue shares on terms that are subject to redemption at our option on such terms and in such manner as may be determined by our Board.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Compulsory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General Corporation Law § 253, in a process known as a “short form” merger, a corporation that owns at least 90% of the outstanding shares of each class of stock of another corporation may either merge the other corporation into itself and assume all of its obligations or merge itself into the other corporation by executing, acknowledging and filing with the Delaware Secretary of State a certificate of such ownership and merger setting forth a copy of the resolution of its board of directors authorizing such merger. If the parent corporation is a Delaware corporation that is not the surviving corporation, the merger also must be approved by a majority of the outstanding stock of the parent corporation. If the parent corporation does not own all of the stock of the subsidiary corporation immediately prior to the merger, the minority shareholders of the subsidiary corporation party to the merger may have appraisal rights as set forth in § 262 of the Delaware General Corporation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contains a statutory power of compulsory acquisition which may facilitate the “squeeze out” of dissentient minority shareholder upon a tender offer. When a tender offer is made and accepted by holders of 90.0% of the shares affected within four months, the offeror may, within a two-month period 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Independent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provisions under Delaware corporate law or under the Companies Act that require a majority of our directors to be independent.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Cumulative voting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cumulative voting for elections of directors is not permitted unless the company’s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on cumulative voting under the laws of the Cayman Islands, but our amended and restated Memorandum and Articles of Association will not provide for cumulative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Removal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a director of a corporation with a classified board may be removed only for cause with the approval of a majority of the outstanding shares entitled to vote, unless the certificate of incorporation provides otherwise. Removal of directors is governed by the terms our amended and restated Memorandum and Articles of Association under the laws of the Cayman Islands.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one or more constituent corporations may merge into and become part of another constituent corporation in a process known as a merger. A Delaware corporation may merge with a foreign corporation as long as the law of the foreign jurisdiction permits such a merger. To effect a merger under Delaware General Corporation Law § 251, an agreement of merger must be properly adopted and the agreement of merger or a certificate of merger must be filed with the Delaware Secretary of State. In order to be properly adopted, the agreement of merger must be adopted by the board of directors of each constituent corporation by a resolution or unanimous written consent. In addition, the agreement of merger generally must be approved at a meeting of shareholders of each constituent corporation by a majority of the outstanding stock of the corporation entitled to vote, unless the certificate of incorporation provides for a supermajority vote. In general, the surviving corporation assumes all of the assets and liabilities of the disappearing corporation or corporations as a result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permits mergers and consolidations between 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provisions as to the required majority vote have been met;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been fairly represented at the meeting in question and the statutory majority are acting bona fide without coercion of the minority to promote interests adverse to those of the class;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such that may be reasonably approved by an intelligent and honest man of that class acting in respect of his interest;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not one that would more properly be sanctioned under some other provision of the Companies Act.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Conflicts of interest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a contract between a corporation and a director or officer, or between a corporation and any other organization in which a director or officer has a financial interest, is not void as long as (i) the material facts as to our director’s or officer’s relationship or interest are disclosed or known and (ii) either a majority of the disinterested directors authorizes the contract in good faith or the shareholders vote in good faith to approve the contract. Nor will any such contract be void if it is fair to the corporation when it is authorized, approved or ratified by the board of directors, a committee or the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amended and restated Memorandum and Articles of Association, a director with an interest in a particular transaction will be permitted to vote on it he or she may be counted in the quorum present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 with interested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corporate law contains a business combination statute applicable to Delaware public corporations whereby, unless the corporation has specifically elected not to be governed by that statute by amendment to its certificate of incorporation, it is prohibited from engaging in certain business combinations with an “interested shareholder” for three years following the date that the person becomes an interested shareholder. An interested shareholder generally is a person or group that owns or owned 15% or more of the company’s outstanding voting stock within the past three years. This statute has the effect of limiting the ability of a potential acquirer to make a two-tiered bid for the company in which all shareholders would not be treated equally. The statute does not apply if, among other things, prior to the date on which the shareholder becomes an interested shareholder, the board of directors approves either the business combination or the transaction that resulted in the person becoming an interested shareholder.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has no comparable provision. However, although Cayman Islands law does not regulate transactions between a company and its significant shareholders, it does provide that these transactions must be entered into in the bona fide best interests of the company and not with the effect of constituting a fraud on the minority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Dissolution; winding 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corporate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 of rights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Delaware corporate law, a corporation may vary the rights of a class of shares with the approval of a majority of the outstanding shares of that class, unless the certificate of incorporation provides otherwise. Under our amended and restated Memorandum and Articles of Association, if our share capital is divided into more than one class of shares, the rights attached to any such class may, subject to any rights or restrictions for the time being attached to any class, only be materially adversely varied with the consent in writing of the holders of at least two-thirds (2/3) of the issued shares of that class or with the sanction of a special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or subsequent to them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governing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with very limited exceptions, a vote of the shareholders of a corporation is required to amend the certificate of incorporation. In addition, Delaware corporate law provides that shareholders have the right to amend the corporation’s bylaws, but the certificate of incorporation may confer such right on our directors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and our amended and restated Memorandum and Articles of Association, our memorandum and articles of association may only be amended by a special resolution of our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non-resident or foreign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Anti-money laundering —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Islands laws, 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request such information as is necessary to verify the identity of a subscriber. In some cases the directors may be satisfied that no further information is required since an exemption applies under the Anti-Money Laundering Regulations (Revised) of the Cayman Islands, as amended and revised from time to time, or the Regulations. Depending on the circumstances of each application, a detailed verification of identity might not be required where: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subscriber makes the payment for their investment from an account held in the subscriber’s name at a recognized financial institution;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subscriber is regulated by a recognized regulatory authority and is based or incorporated in, or formed under the law of, a recognized jurisdiction;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reserve the right to refuse to make any redemption payment to a shareholder if our directors or officers suspect or are advised that the payment of redemption proceeds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person resident in the Cayman Islands knows or suspects or has reason for knowing or suspecting that another person is engaged in criminal conduct or is involved with terrorism or terrorist property and the information for that knowledge or suspicion came to their attention in the course of their business in the regulated sector, or other trade, profession, business or employment, the person will be required to report such knowledge or suspicion to (i) a nominated officer (appointed in accordance with the Proceeds of Crime Act (Revised) of the Cayman Islands) or the Financial Reporting Authority of the Cayman Islands, pursuant to the Proceeds of Crime Act (Revised), if the disclosure relates to criminal conduct or money laundering or (ii) to a police constable or a nominated officer (pursuant to the Terrorism Act (Revised) of the Cayman Islands) or the Financial Reporting Authority, pursuant to the Terrorism Act (Revised), if the disclosure relates to involvement with terrorism or terrorist financing and terrorist property. Such a report shall not be treated as a breach of confidence or of any restriction upon the disclosure of information imposed by any enactment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Data protection (privacy notice) —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Islands laws, the privacy notice explains the manner in which we collect, process, and maintain personal data about our investors pursuant to the Data Protection Act (Revised) of the Cayman Islands, as amended from time to time and any regulations, codes of practice, or orders promulgated pursuant thereto, or the DPA.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processing personal data in accordance with the DPA. In our use of personal data, we will be characterized under the DPA as a “data controller,” whilst certain of our service providers, affiliates, and delegates may act as “data processors” under the DPA. These service providers may process personal information for their own lawful purposes in connection with services provided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virtue of your investment in our Company, we and certain of our service providers may collect, record, store, transfer, and otherwise process personal data by which individuals may be directly or indirectly identified.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processed fairly and for lawful purposes, including (a) where the processing is necessary for us to perform a contract to which you are a party or for taking pre-contractual steps at your request, (b) where the processing is necessary for compliance with any legal, tax, or regulatory obligation to which we are subject, or (c) where the processing is for the purposes of legitimate interests pursued by us or by a service provider to whom the data are disclosed. As a data controller, we will only use your personal data for the purposes for which we collected it. If we need to use your personal data for an unrelated purpose, we will contact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we will share your personal data with our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shall not be held by our Company for longer than necessary with regard to the purposes of the data processing.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sell your personal data. Any transfer of personal data outside of the Cayman Islands shall be in accordance with the requirements of the DPA. Where necessary, we will ensure that separate and appropriate legal agreements are put in place with the recipient of that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our Company, this will be relevant for those individuals and you should inform such individuals of the content.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certain rights under the DPA, including (a) the right to be informed as to how we collect and use your personal data (and this privacy notice fulfils our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consider that your personal data has not been handled correctly, or you are not satisfied with our responses to any requests you have made regarding the use of your personal data, you have the right to complain to the Cayman Islands’ Ombudsman. The Ombudsman can be contacted by calling +1 (345) 946-6283 or by email </w:t>
      </w:r>
      <w:r>
        <w:rPr>
          <w:rFonts w:ascii="Times New Roman;Times;Serif" w:hAnsi="Times New Roman;Times;Serif"/>
          <w:b w:val="false"/>
          <w:i w:val="false"/>
          <w:caps w:val="false"/>
          <w:smallCaps w:val="false"/>
          <w:sz w:val="20"/>
          <w:u w:val="single"/>
        </w:rPr>
        <w:t>at info@ombudsman.ky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a_009"/>
      <w:bookmarkEnd w:id="10"/>
      <w:r>
        <w:rPr>
          <w:rFonts w:ascii="Times New Roman;Times;Serif" w:hAnsi="Times New Roman;Times;Serif"/>
          <w:b/>
          <w:i w:val="false"/>
          <w:caps w:val="false"/>
          <w:smallCaps w:val="false"/>
          <w:sz w:val="20"/>
        </w:rPr>
        <w:t>DESCRIPTION OF 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share capital of the Company US$50,000 divided into 25,000,000,000 shares of nominal or par value of US$0.000002 each, comprising of (i) 17,500,000,000 Class A ordinary shares of nominal or par value of US$0.000002 each, (ii) 7,500,000,000 Class B ordinary shares of nominal or par value of US$0.000002 each. Our amended and restated Memorandum and Articles of Association provide that our Board may provide for other classes of shares, including classes of preferred shares, out of our authorized but unissued share capital, which could be utilized for a variety of corporate purposes, including future offerings to raise capital for corporate purposes or for use in employee benefit plans. Such additional classes of shares may have such rights, restrictions, preferences, privileges and payment obligations as determined by our Board. If we issue any preferred shares, the rights, preferences and privileges of holders of our ordinary shares will be subject to, and may be adversely affected by, the rights of the holders of such preferred shares. However, since our amended and restated Memorandum and Articles of Association provide that the rights of the holders of shares shall not be deemed to be materially adversely varied by the creation or issue of shares with preferred or other rights, no separate class consents are required for the creation or issue of shares with preferred or other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any issue of preferred shares will be described in the prospectus supplement relating to the issue. Those terms may include:</w:t>
      </w:r>
    </w:p>
    <w:p>
      <w:pPr>
        <w:pStyle w:val="TextBody"/>
        <w:bidi w:val="0"/>
        <w:spacing w:before="0" w:after="0"/>
        <w:ind w:left="0" w:right="0" w:firstLine="720"/>
        <w:jc w:val="both"/>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38"/>
        <w:gridCol w:w="17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and number of preferred shares;</w:t>
            </w:r>
          </w:p>
        </w:tc>
      </w:tr>
    </w:tbl>
    <w:p>
      <w:pPr>
        <w:pStyle w:val="TextBody"/>
        <w:bidi w:val="0"/>
        <w:spacing w:before="0" w:after="0"/>
        <w:ind w:left="1080" w:right="0" w:hanging="360"/>
        <w:jc w:val="both"/>
        <w:rPr>
          <w:caps w:val="false"/>
          <w:smallCaps w:val="false"/>
        </w:rPr>
      </w:pPr>
      <w:r>
        <w:rPr>
          <w:caps w:val="false"/>
          <w:smallCaps w:val="false"/>
        </w:rPr>
        <w:t> </w:t>
      </w:r>
    </w:p>
    <w:tbl>
      <w:tblPr>
        <w:tblW w:w="9303" w:type="dxa"/>
        <w:jc w:val="left"/>
        <w:tblInd w:w="0" w:type="dxa"/>
        <w:tblLayout w:type="fixed"/>
        <w:tblCellMar>
          <w:top w:w="0" w:type="dxa"/>
          <w:left w:w="0" w:type="dxa"/>
          <w:bottom w:w="0" w:type="dxa"/>
          <w:right w:w="0" w:type="dxa"/>
        </w:tblCellMar>
      </w:tblPr>
      <w:tblGrid>
        <w:gridCol w:w="38"/>
        <w:gridCol w:w="170"/>
        <w:gridCol w:w="9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 price per preferred share (or if applicable, the calculation formula of the issue price per preferred share);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rate on the preferred shares, the dividend payment dates, the periods in respect of which dividends are payable, whether such dividends shall be cumulative and, if cumulative, the date or dates from which dividends shall accumulate;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shall be convertible into, or exchangeable for, ordinary shares or preferred shares of another category, and, if applicable, conditions of an automatic conversion into ordinary shares, if any, the conversion period, the conversion price, or how such price will be calculated, and under what circumstances it may be adjusted;</w:t>
            </w:r>
          </w:p>
        </w:tc>
      </w:tr>
    </w:tbl>
    <w:p>
      <w:pPr>
        <w:pStyle w:val="TextBody"/>
        <w:bidi w:val="0"/>
        <w:spacing w:before="0" w:after="0"/>
        <w:ind w:left="1080" w:right="0" w:hanging="360"/>
        <w:jc w:val="both"/>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38"/>
        <w:gridCol w:w="170"/>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liquidation preference per preferred share, if any;</w:t>
            </w:r>
          </w:p>
        </w:tc>
      </w:tr>
    </w:tbl>
    <w:p>
      <w:pPr>
        <w:pStyle w:val="TextBody"/>
        <w:bidi w:val="0"/>
        <w:spacing w:before="0" w:after="0"/>
        <w:ind w:left="1080" w:right="0" w:hanging="360"/>
        <w:jc w:val="both"/>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17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 if any, of the preferred shares;</w:t>
            </w:r>
          </w:p>
        </w:tc>
      </w:tr>
    </w:tbl>
    <w:p>
      <w:pPr>
        <w:pStyle w:val="TextBody"/>
        <w:bidi w:val="0"/>
        <w:spacing w:before="0" w:after="0"/>
        <w:ind w:left="1080" w:right="0" w:hanging="360"/>
        <w:jc w:val="both"/>
        <w:rPr>
          <w:caps w:val="false"/>
          <w:smallCaps w:val="false"/>
        </w:rPr>
      </w:pPr>
      <w:r>
        <w:rPr>
          <w:caps w:val="false"/>
          <w:smallCaps w:val="false"/>
        </w:rPr>
        <w:t> </w:t>
      </w:r>
    </w:p>
    <w:tbl>
      <w:tblPr>
        <w:tblW w:w="4698" w:type="dxa"/>
        <w:jc w:val="left"/>
        <w:tblInd w:w="0" w:type="dxa"/>
        <w:tblLayout w:type="fixed"/>
        <w:tblCellMar>
          <w:top w:w="0" w:type="dxa"/>
          <w:left w:w="0" w:type="dxa"/>
          <w:bottom w:w="0" w:type="dxa"/>
          <w:right w:w="0" w:type="dxa"/>
        </w:tblCellMar>
      </w:tblPr>
      <w:tblGrid>
        <w:gridCol w:w="38"/>
        <w:gridCol w:w="170"/>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restrictions on transfer, sale or assignment, if any;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the material Cayman Islands or United States federal income tax considerations applicable to the preferred shares; and</w:t>
            </w:r>
          </w:p>
        </w:tc>
      </w:tr>
    </w:tbl>
    <w:p>
      <w:pPr>
        <w:pStyle w:val="TextBody"/>
        <w:bidi w:val="0"/>
        <w:spacing w:before="0" w:after="0"/>
        <w:ind w:left="1080" w:right="0" w:hanging="360"/>
        <w:jc w:val="both"/>
        <w:rPr>
          <w:caps w:val="false"/>
          <w:smallCaps w:val="false"/>
        </w:rPr>
      </w:pPr>
      <w:r>
        <w:rPr>
          <w:caps w:val="false"/>
          <w:smallCaps w:val="false"/>
        </w:rPr>
        <w:t> </w:t>
      </w:r>
    </w:p>
    <w:tbl>
      <w:tblPr>
        <w:tblW w:w="8853" w:type="dxa"/>
        <w:jc w:val="left"/>
        <w:tblInd w:w="0" w:type="dxa"/>
        <w:tblLayout w:type="fixed"/>
        <w:tblCellMar>
          <w:top w:w="0" w:type="dxa"/>
          <w:left w:w="0" w:type="dxa"/>
          <w:bottom w:w="0" w:type="dxa"/>
          <w:right w:w="0" w:type="dxa"/>
        </w:tblCellMar>
      </w:tblPr>
      <w:tblGrid>
        <w:gridCol w:w="38"/>
        <w:gridCol w:w="170"/>
        <w:gridCol w:w="8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specific terms, rights, preferences, privileges, qualifications or restrictions of the preferred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issue preferred shares under this prospectus and the applicable prospectus supplement, the preferred shares will be fully paid and non-assessable and will not have, or be subject to, any pre-emptive or similar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shares could adversely affect the voting power of holders of our ordinary shares and reduce the likelihood that holders of our ordinary shares will receive dividend payments and payments upon liquidation. The issuance could have the effect of decreasing the market price of our ordinary shares. The issuance of preferred shares also could delay, deter or prevent a change in control of the Company, or make removal of management more difficult. As of the date of this prospectus, there are no issued and outstanding preferred shares of any series.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a_010"/>
      <w:bookmarkEnd w:id="11"/>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series of debt securities, which may include debt securities exchangeable for or convertible into ordinary shares. When we offer to sell a particular series of debt securities, we will describe the specific terms of that series in a supplement to this prospectus. The following description of debt securities will apply to the debt securities offered by this prospectus unless we provide otherwise in the applicable prospectus supplement. The applicable prospectus supplement for a particular series of debt securities may specify different or additional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offered by this prospectus may be secured or unsecured, and may be senior debt securities, senior subordinated debt securities or subordinated debt securities. The debt securities offered by this prospectus may be issued under an indenture between us and the trustee under the indenture. The indenture may be qualified under, subject to, and governed by, the Trust Indenture Act of 1939, as amended. The following description is a summary of selected provisions relating to the debt securities that we may issue. The summary is not complete. The terms of each series of debt securities will be established by or pursuant to a resolution of our Board of Directors and detailed or determined in the manner provided in a Board of Directors’ resolution, an officers’ certificate and by a supplemental indenture. The particular terms of each series of debt securities will be described in a prospectus supplement relating to the series, including any pricing supplement, which may modify or replace the general terms described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any amount of debt securities under the indenture, which may be in one or more series with the same or different maturities, at par, at a premium or at a discount. We will set forth in a prospectus supplement, including any related pricing supplement, relating to any series of debt securities being offered, the offering price, the aggregate principal amount offered and the terms of the debt securities, including, among other things, the following:</w:t>
      </w:r>
    </w:p>
    <w:p>
      <w:pPr>
        <w:pStyle w:val="TextBody"/>
        <w:bidi w:val="0"/>
        <w:spacing w:before="0" w:after="0"/>
        <w:ind w:left="0" w:right="0" w:firstLine="720"/>
        <w:jc w:val="both"/>
        <w:rPr>
          <w:caps w:val="false"/>
          <w:smallCaps w:val="false"/>
        </w:rPr>
      </w:pPr>
      <w:r>
        <w:rPr>
          <w:caps w:val="false"/>
          <w:smallCaps w:val="false"/>
        </w:rPr>
        <w:t> </w:t>
      </w:r>
    </w:p>
    <w:tbl>
      <w:tblPr>
        <w:tblW w:w="2658" w:type="dxa"/>
        <w:jc w:val="left"/>
        <w:tblInd w:w="0" w:type="dxa"/>
        <w:tblLayout w:type="fixed"/>
        <w:tblCellMar>
          <w:top w:w="0" w:type="dxa"/>
          <w:left w:w="0" w:type="dxa"/>
          <w:bottom w:w="0" w:type="dxa"/>
          <w:right w:w="0" w:type="dxa"/>
        </w:tblCellMar>
      </w:tblPr>
      <w:tblGrid>
        <w:gridCol w:w="38"/>
        <w:gridCol w:w="17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debt securities;</w:t>
            </w:r>
          </w:p>
        </w:tc>
      </w:tr>
    </w:tbl>
    <w:p>
      <w:pPr>
        <w:pStyle w:val="TextBody"/>
        <w:bidi w:val="0"/>
        <w:spacing w:before="0" w:after="0"/>
        <w:ind w:left="1080" w:right="0" w:hanging="0"/>
        <w:jc w:val="both"/>
        <w:rPr>
          <w:caps w:val="false"/>
          <w:smallCaps w:val="false"/>
        </w:rPr>
      </w:pPr>
      <w:r>
        <w:rPr>
          <w:caps w:val="false"/>
          <w:smallCaps w:val="false"/>
        </w:rPr>
        <w:t> </w:t>
      </w:r>
    </w:p>
    <w:tbl>
      <w:tblPr>
        <w:tblW w:w="9978" w:type="dxa"/>
        <w:jc w:val="left"/>
        <w:tblInd w:w="0" w:type="dxa"/>
        <w:tblLayout w:type="fixed"/>
        <w:tblCellMar>
          <w:top w:w="0" w:type="dxa"/>
          <w:left w:w="0" w:type="dxa"/>
          <w:bottom w:w="0" w:type="dxa"/>
          <w:right w:w="0" w:type="dxa"/>
        </w:tblCellMar>
      </w:tblPr>
      <w:tblGrid>
        <w:gridCol w:w="38"/>
        <w:gridCol w:w="170"/>
        <w:gridCol w:w="9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or prices (expressed as a percentage of the aggregate principal amount) at which we will sell the debt securities;</w:t>
            </w:r>
          </w:p>
        </w:tc>
      </w:tr>
    </w:tbl>
    <w:p>
      <w:pPr>
        <w:pStyle w:val="TextBody"/>
        <w:bidi w:val="0"/>
        <w:spacing w:before="0" w:after="0"/>
        <w:ind w:left="1080" w:right="0" w:hanging="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17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 on the aggregate principal amount of the debt securities;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on which we will repay the principal on the debt securities and the right, if any, to extend the maturity of the debt securities;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be payable and any regular record date for any interest payment date;</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or places where the principal of, premium, and interest on the debt securities will be payable, and where the debt securities of the series that are convertible or exchangeable may be surrendered for conversion or exchange;</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obligation or right we have to redeem the debt securities pursuant to any sinking fund or analogous provisions or at the option of holders of the debt securities or at our option, and the terms and conditions upon which we are obligated to or may redeem the debt securities;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obligation we have to repurchase the debt securities at the option of the holders of debt securities, the dates on which and the price or prices at which we will repurchase the debt securities and other detailed terms and provisions of these repurchase obligations;</w:t>
            </w:r>
          </w:p>
        </w:tc>
      </w:tr>
    </w:tbl>
    <w:p>
      <w:pPr>
        <w:pStyle w:val="TextBody"/>
        <w:bidi w:val="0"/>
        <w:spacing w:before="0" w:after="0"/>
        <w:ind w:left="1080" w:right="0" w:hanging="0"/>
        <w:jc w:val="both"/>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38"/>
        <w:gridCol w:w="17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denominations in which the debt securities will be issued;</w:t>
            </w:r>
          </w:p>
        </w:tc>
      </w:tr>
    </w:tbl>
    <w:p>
      <w:pPr>
        <w:pStyle w:val="TextBody"/>
        <w:bidi w:val="0"/>
        <w:spacing w:before="0" w:after="0"/>
        <w:ind w:left="1080" w:right="0" w:hanging="0"/>
        <w:jc w:val="both"/>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38"/>
        <w:gridCol w:w="170"/>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will be issued in the form of certificated debt securities or global debt securities;</w:t>
            </w:r>
          </w:p>
        </w:tc>
      </w:tr>
    </w:tbl>
    <w:p>
      <w:pPr>
        <w:pStyle w:val="TextBody"/>
        <w:bidi w:val="0"/>
        <w:spacing w:before="0" w:after="0"/>
        <w:ind w:left="108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principal amount of the debt securities payable upon declaration of acceleration of the maturity date, if other than the principal amount;</w:t>
            </w:r>
          </w:p>
        </w:tc>
      </w:tr>
    </w:tbl>
    <w:p>
      <w:pPr>
        <w:pStyle w:val="TextBody"/>
        <w:bidi w:val="0"/>
        <w:spacing w:before="0" w:after="0"/>
        <w:ind w:left="1080" w:right="0" w:hanging="0"/>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170"/>
        <w:gridCol w:w="4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of denomination of the debt securities;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the currency, currencies or currency units in which payment of principal of, premium and interest on the debt securities will be made;</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manner in which the amounts of payment of principal of,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tc>
      </w:tr>
    </w:tbl>
    <w:p>
      <w:pPr>
        <w:pStyle w:val="TextBody"/>
        <w:bidi w:val="0"/>
        <w:spacing w:before="0" w:after="0"/>
        <w:ind w:left="1080" w:right="0" w:hanging="0"/>
        <w:jc w:val="both"/>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17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relating to any security provided for the debt securities;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 to or change in the events of default described in the indenture with respect to the debt securities and any change in the acceleration provisions described in the indenture with respect to the debt securities;</w:t>
            </w:r>
          </w:p>
        </w:tc>
      </w:tr>
    </w:tbl>
    <w:p>
      <w:pPr>
        <w:pStyle w:val="TextBody"/>
        <w:bidi w:val="0"/>
        <w:spacing w:before="0" w:after="0"/>
        <w:ind w:left="1080" w:right="0" w:hanging="0"/>
        <w:jc w:val="both"/>
        <w:rPr>
          <w:caps w:val="false"/>
          <w:smallCaps w:val="false"/>
        </w:rPr>
      </w:pPr>
      <w:r>
        <w:rPr>
          <w:caps w:val="false"/>
          <w:smallCaps w:val="false"/>
        </w:rPr>
        <w:t> </w:t>
      </w:r>
    </w:p>
    <w:tbl>
      <w:tblPr>
        <w:tblW w:w="8673" w:type="dxa"/>
        <w:jc w:val="left"/>
        <w:tblInd w:w="0" w:type="dxa"/>
        <w:tblLayout w:type="fixed"/>
        <w:tblCellMar>
          <w:top w:w="0" w:type="dxa"/>
          <w:left w:w="0" w:type="dxa"/>
          <w:bottom w:w="0" w:type="dxa"/>
          <w:right w:w="0" w:type="dxa"/>
        </w:tblCellMar>
      </w:tblPr>
      <w:tblGrid>
        <w:gridCol w:w="38"/>
        <w:gridCol w:w="170"/>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 to or change in the covenants described in the indenture with respect to the debt securities;</w:t>
            </w:r>
          </w:p>
        </w:tc>
      </w:tr>
    </w:tbl>
    <w:p>
      <w:pPr>
        <w:pStyle w:val="TextBody"/>
        <w:bidi w:val="0"/>
        <w:spacing w:before="0" w:after="0"/>
        <w:ind w:left="1080" w:right="0" w:hanging="0"/>
        <w:jc w:val="both"/>
        <w:rPr>
          <w:caps w:val="false"/>
          <w:smallCaps w:val="false"/>
        </w:rPr>
      </w:pPr>
      <w:r>
        <w:rPr>
          <w:caps w:val="false"/>
          <w:smallCaps w:val="false"/>
        </w:rPr>
        <w:t> </w:t>
      </w:r>
    </w:p>
    <w:tbl>
      <w:tblPr>
        <w:tblW w:w="8598" w:type="dxa"/>
        <w:jc w:val="left"/>
        <w:tblInd w:w="0" w:type="dxa"/>
        <w:tblLayout w:type="fixed"/>
        <w:tblCellMar>
          <w:top w:w="0" w:type="dxa"/>
          <w:left w:w="0" w:type="dxa"/>
          <w:bottom w:w="0" w:type="dxa"/>
          <w:right w:w="0" w:type="dxa"/>
        </w:tblCellMar>
      </w:tblPr>
      <w:tblGrid>
        <w:gridCol w:w="38"/>
        <w:gridCol w:w="170"/>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will be senior or subordinated and any applicable subordination provisions;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the material Cayman Islands or United States federal income tax considerations applicable to the debt securities;</w:t>
            </w:r>
          </w:p>
        </w:tc>
      </w:tr>
    </w:tbl>
    <w:p>
      <w:pPr>
        <w:pStyle w:val="TextBody"/>
        <w:bidi w:val="0"/>
        <w:spacing w:before="0" w:after="0"/>
        <w:ind w:left="1080" w:right="0" w:hanging="0"/>
        <w:jc w:val="both"/>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38"/>
        <w:gridCol w:w="17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debt securities, which may modify any provisions of the indenture as it applies to that series; and</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depositaries, interest rate calculation agents, exchange rate calculation agents or other agents with respect to the debt securities.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are exchangeable for and/or convertible into ordinary shares or preferred shares. The terms, if any, on which the debt securities may be exchanged and/or converted will be set forth in the applicable prospectus supplement. Such terms may include provisions for exchange or conversion, which can be mandatory, at the option of the holder or at our option, and the manner in which the number of ordinary shares or other securities to be received by the holders of debt securities would be calculated.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 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of a series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will be governed by, and construed in accordance with, the internal laws of the State of New York, unless we otherwise specify in the applicable prospectus supplement.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a_011"/>
      <w:bookmarkEnd w:id="12"/>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offer warrants under the material terms and conditions described in this prospectus and any accompanying prospectus supplement. The accompanying prospectus supplement may add, update or change the terms and conditions of the warrants as described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Class A ordinary shares or debt securities. Warrants may be issued independently or together with any securities and may be attached to or separate from those securities. The warrants will be issued under warrant agreements to be entered into between us and a bank or trust company, as warrant agent, all of which will be described in the prospectus supplement relating to the warrants we are offering. The warrant agent will act solely as our agent in connection with the warrants and will not have any obligation or relationship of agency or trust for or with any holders or beneficial owners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equity warrant issued by us will entitle its holder to purchase the equity securities designated at an exercise price set forth in, or to be determinable as set forth in, the related prospectus supplement. Equity warrants may be issued separately or together with equity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warrants are to be issued under equity warrant agreements to be entered into between us and one or more banks or trust companies, as equity warrant agent, as will be set forth in the applicable prospectus supplement and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the equity warrants, the equity warrant agreements relating to the equity warrants and the equity warrant certificates representing the equity warrants will be described in the applicable prospectus supplement, including, as applicable:</w:t>
      </w:r>
    </w:p>
    <w:p>
      <w:pPr>
        <w:pStyle w:val="TextBody"/>
        <w:bidi w:val="0"/>
        <w:spacing w:before="0" w:after="0"/>
        <w:ind w:left="0" w:right="0" w:firstLine="720"/>
        <w:jc w:val="both"/>
        <w:rPr>
          <w:caps w:val="false"/>
          <w:smallCaps w:val="false"/>
        </w:rPr>
      </w:pPr>
      <w:r>
        <w:rPr>
          <w:caps w:val="false"/>
          <w:smallCaps w:val="false"/>
        </w:rPr>
        <w:t> </w:t>
      </w:r>
    </w:p>
    <w:tbl>
      <w:tblPr>
        <w:tblW w:w="2733" w:type="dxa"/>
        <w:jc w:val="left"/>
        <w:tblInd w:w="0" w:type="dxa"/>
        <w:tblLayout w:type="fixed"/>
        <w:tblCellMar>
          <w:top w:w="0" w:type="dxa"/>
          <w:left w:w="0" w:type="dxa"/>
          <w:bottom w:w="0" w:type="dxa"/>
          <w:right w:w="0" w:type="dxa"/>
        </w:tblCellMar>
      </w:tblPr>
      <w:tblGrid>
        <w:gridCol w:w="38"/>
        <w:gridCol w:w="170"/>
        <w:gridCol w:w="2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equity warrants;</w:t>
            </w:r>
          </w:p>
        </w:tc>
      </w:tr>
    </w:tbl>
    <w:p>
      <w:pPr>
        <w:pStyle w:val="TextBody"/>
        <w:bidi w:val="0"/>
        <w:spacing w:before="0" w:after="0"/>
        <w:ind w:left="1080" w:right="0" w:hanging="0"/>
        <w:jc w:val="both"/>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170"/>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amount of equity warrants and the aggregate amount of equity securities purchasable upon exercise of the equity warrants;</w:t>
            </w:r>
          </w:p>
        </w:tc>
      </w:tr>
    </w:tbl>
    <w:p>
      <w:pPr>
        <w:pStyle w:val="TextBody"/>
        <w:bidi w:val="0"/>
        <w:spacing w:before="0" w:after="0"/>
        <w:ind w:left="1080" w:right="0" w:hanging="0"/>
        <w:jc w:val="both"/>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or currency units in which the offering price, if any, and the exercise price are payable;</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designation and terms of the equity securities with which the equity warrants are issued, and the amount of equity warrants issued with each equity security;</w:t>
            </w:r>
          </w:p>
        </w:tc>
      </w:tr>
    </w:tbl>
    <w:p>
      <w:pPr>
        <w:pStyle w:val="TextBody"/>
        <w:bidi w:val="0"/>
        <w:spacing w:before="0" w:after="0"/>
        <w:ind w:left="1080" w:right="0" w:hanging="0"/>
        <w:jc w:val="both"/>
        <w:rPr>
          <w:caps w:val="false"/>
          <w:smallCaps w:val="false"/>
        </w:rPr>
      </w:pPr>
      <w:r>
        <w:rPr>
          <w:caps w:val="false"/>
          <w:smallCaps w:val="false"/>
        </w:rPr>
        <w:t> </w:t>
      </w:r>
    </w:p>
    <w:tbl>
      <w:tblPr>
        <w:tblW w:w="9648" w:type="dxa"/>
        <w:jc w:val="left"/>
        <w:tblInd w:w="0" w:type="dxa"/>
        <w:tblLayout w:type="fixed"/>
        <w:tblCellMar>
          <w:top w:w="0" w:type="dxa"/>
          <w:left w:w="0" w:type="dxa"/>
          <w:bottom w:w="0" w:type="dxa"/>
          <w:right w:w="0" w:type="dxa"/>
        </w:tblCellMar>
      </w:tblPr>
      <w:tblGrid>
        <w:gridCol w:w="38"/>
        <w:gridCol w:w="170"/>
        <w:gridCol w:w="9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on and after which the equity warrants and the related equity security will be separately transferable;</w:t>
            </w:r>
          </w:p>
        </w:tc>
      </w:tr>
    </w:tbl>
    <w:p>
      <w:pPr>
        <w:pStyle w:val="TextBody"/>
        <w:bidi w:val="0"/>
        <w:spacing w:before="0" w:after="0"/>
        <w:ind w:left="1080" w:right="0" w:hanging="0"/>
        <w:jc w:val="both"/>
        <w:rPr>
          <w:caps w:val="false"/>
          <w:smallCaps w:val="false"/>
        </w:rPr>
      </w:pPr>
      <w:r>
        <w:rPr>
          <w:caps w:val="false"/>
          <w:smallCaps w:val="false"/>
        </w:rPr>
        <w:t> </w:t>
      </w:r>
    </w:p>
    <w:tbl>
      <w:tblPr>
        <w:tblW w:w="9108" w:type="dxa"/>
        <w:jc w:val="left"/>
        <w:tblInd w:w="0" w:type="dxa"/>
        <w:tblLayout w:type="fixed"/>
        <w:tblCellMar>
          <w:top w:w="0" w:type="dxa"/>
          <w:left w:w="0" w:type="dxa"/>
          <w:bottom w:w="0" w:type="dxa"/>
          <w:right w:w="0" w:type="dxa"/>
        </w:tblCellMar>
      </w:tblPr>
      <w:tblGrid>
        <w:gridCol w:w="38"/>
        <w:gridCol w:w="170"/>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minimum or maximum amount of the equity warrants that may be exercised at any one time;</w:t>
            </w:r>
          </w:p>
        </w:tc>
      </w:tr>
    </w:tbl>
    <w:p>
      <w:pPr>
        <w:pStyle w:val="TextBody"/>
        <w:bidi w:val="0"/>
        <w:spacing w:before="0" w:after="0"/>
        <w:ind w:left="1080" w:right="0" w:hanging="0"/>
        <w:jc w:val="both"/>
        <w:rPr>
          <w:caps w:val="false"/>
          <w:smallCaps w:val="false"/>
        </w:rPr>
      </w:pPr>
      <w:r>
        <w:rPr>
          <w:caps w:val="false"/>
          <w:smallCaps w:val="false"/>
        </w:rPr>
        <w:t> </w:t>
      </w:r>
    </w:p>
    <w:tbl>
      <w:tblPr>
        <w:tblW w:w="9738" w:type="dxa"/>
        <w:jc w:val="left"/>
        <w:tblInd w:w="0" w:type="dxa"/>
        <w:tblLayout w:type="fixed"/>
        <w:tblCellMar>
          <w:top w:w="0" w:type="dxa"/>
          <w:left w:w="0" w:type="dxa"/>
          <w:bottom w:w="0" w:type="dxa"/>
          <w:right w:w="0" w:type="dxa"/>
        </w:tblCellMar>
      </w:tblPr>
      <w:tblGrid>
        <w:gridCol w:w="38"/>
        <w:gridCol w:w="170"/>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equity warrants will commence and the date on which the right will expire;</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the material Cayman Islands or United States federal income tax considerations applicable to the equity warrants;</w:t>
            </w:r>
          </w:p>
        </w:tc>
      </w:tr>
    </w:tbl>
    <w:p>
      <w:pPr>
        <w:pStyle w:val="TextBody"/>
        <w:bidi w:val="0"/>
        <w:spacing w:before="0" w:after="0"/>
        <w:ind w:left="1080" w:right="0" w:hanging="0"/>
        <w:jc w:val="both"/>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170"/>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anti-dilution provisions of the equity warrants, if any;</w:t>
            </w:r>
          </w:p>
        </w:tc>
      </w:tr>
    </w:tbl>
    <w:p>
      <w:pPr>
        <w:pStyle w:val="TextBody"/>
        <w:bidi w:val="0"/>
        <w:spacing w:before="0" w:after="0"/>
        <w:ind w:left="1080" w:right="0" w:hanging="0"/>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170"/>
        <w:gridCol w:w="6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or call provisions, if any, applicable to the equity warrants; and</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terms of the equity warrants, including terms, procedures and limitations relating to the exchange and exercise of the equity warrants.</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equity warrants will not be entitled, solely by virtue of being holders, to vote, to consent, to receive dividends, to receive notice as shareholders with respect to any meeting of shareholders for the election of directors or any other matters, or to exercise any rights whatsoever as a holder of the equity securities purchasable upon exercise of the equity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 warrant issued by us will entitle its holder to purchase the debt securities designated at an exercise price set forth in, or to be determinable as set forth in, the related prospectus supplement. Debt warrants may be issued separately or together with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warrants are to be issued under debt warrant agreements to be entered into between us, and one or more banks or trust companies, as debt warrant agent, as will be set forth in the applicable prospectus supplement and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each issue of debt warrants, the debt warrant agreement relating to the debt warrants and the debt warrant certificates representing debt warrants will be described in the applicable prospectus supplement, including, as applicable:</w:t>
      </w:r>
    </w:p>
    <w:p>
      <w:pPr>
        <w:pStyle w:val="TextBody"/>
        <w:bidi w:val="0"/>
        <w:spacing w:before="0" w:after="0"/>
        <w:ind w:left="0" w:right="0" w:firstLine="720"/>
        <w:jc w:val="both"/>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170"/>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debt warrants;</w:t>
            </w:r>
          </w:p>
        </w:tc>
      </w:tr>
    </w:tbl>
    <w:p>
      <w:pPr>
        <w:pStyle w:val="TextBody"/>
        <w:bidi w:val="0"/>
        <w:spacing w:before="0" w:after="0"/>
        <w:ind w:left="1080" w:right="0" w:hanging="0"/>
        <w:jc w:val="both"/>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170"/>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w:t>
            </w:r>
          </w:p>
        </w:tc>
      </w:tr>
    </w:tbl>
    <w:p>
      <w:pPr>
        <w:pStyle w:val="TextBody"/>
        <w:bidi w:val="0"/>
        <w:spacing w:before="0" w:after="0"/>
        <w:ind w:left="1080" w:right="0" w:hanging="0"/>
        <w:jc w:val="both"/>
        <w:rPr>
          <w:caps w:val="false"/>
          <w:smallCaps w:val="false"/>
        </w:rPr>
      </w:pPr>
      <w:r>
        <w:rPr>
          <w:caps w:val="false"/>
          <w:smallCaps w:val="false"/>
        </w:rPr>
        <w:t> </w:t>
      </w:r>
    </w:p>
    <w:tbl>
      <w:tblPr>
        <w:tblW w:w="9633" w:type="dxa"/>
        <w:jc w:val="left"/>
        <w:tblInd w:w="0" w:type="dxa"/>
        <w:tblLayout w:type="fixed"/>
        <w:tblCellMar>
          <w:top w:w="0" w:type="dxa"/>
          <w:left w:w="0" w:type="dxa"/>
          <w:bottom w:w="0" w:type="dxa"/>
          <w:right w:w="0" w:type="dxa"/>
        </w:tblCellMar>
      </w:tblPr>
      <w:tblGrid>
        <w:gridCol w:w="38"/>
        <w:gridCol w:w="170"/>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aggregate principal amount and terms of the debt securities purchasable upon exercise of the debt warrants;</w:t>
            </w:r>
          </w:p>
        </w:tc>
      </w:tr>
    </w:tbl>
    <w:p>
      <w:pPr>
        <w:pStyle w:val="TextBody"/>
        <w:bidi w:val="0"/>
        <w:spacing w:before="0" w:after="0"/>
        <w:ind w:left="1080" w:right="0" w:hanging="0"/>
        <w:jc w:val="both"/>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or currency units in which the offering price, if any, and the exercise price are payable;</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and terms of any related debt securities with which the debt warrants are issued and the amount of the debt warrants issued with each debt security;</w:t>
            </w:r>
          </w:p>
        </w:tc>
      </w:tr>
    </w:tbl>
    <w:p>
      <w:pPr>
        <w:pStyle w:val="TextBody"/>
        <w:bidi w:val="0"/>
        <w:spacing w:before="0" w:after="0"/>
        <w:ind w:left="1080" w:right="0" w:hanging="0"/>
        <w:jc w:val="both"/>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17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on and after which the debt warrants and the related debt securities will be separately transferable;</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amount of debt securities purchasable upon exercise of each debt warrant and the price at which that principal amount of debt securities may be purchased upon exercise of each debt warrant;</w:t>
            </w:r>
          </w:p>
        </w:tc>
      </w:tr>
    </w:tbl>
    <w:p>
      <w:pPr>
        <w:pStyle w:val="TextBody"/>
        <w:bidi w:val="0"/>
        <w:spacing w:before="0" w:after="0"/>
        <w:ind w:left="1080" w:right="0" w:hanging="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170"/>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minimum or maximum amount of warrants that may be exercised at any one time;</w:t>
            </w:r>
          </w:p>
        </w:tc>
      </w:tr>
    </w:tbl>
    <w:p>
      <w:pPr>
        <w:pStyle w:val="TextBody"/>
        <w:bidi w:val="0"/>
        <w:spacing w:before="0" w:after="0"/>
        <w:ind w:left="1080" w:right="0" w:hanging="0"/>
        <w:jc w:val="both"/>
        <w:rPr>
          <w:caps w:val="false"/>
          <w:smallCaps w:val="false"/>
        </w:rPr>
      </w:pPr>
      <w:r>
        <w:rPr>
          <w:caps w:val="false"/>
          <w:smallCaps w:val="false"/>
        </w:rPr>
        <w:t> </w:t>
      </w:r>
    </w:p>
    <w:tbl>
      <w:tblPr>
        <w:tblW w:w="9573" w:type="dxa"/>
        <w:jc w:val="left"/>
        <w:tblInd w:w="0" w:type="dxa"/>
        <w:tblLayout w:type="fixed"/>
        <w:tblCellMar>
          <w:top w:w="0" w:type="dxa"/>
          <w:left w:w="0" w:type="dxa"/>
          <w:bottom w:w="0" w:type="dxa"/>
          <w:right w:w="0" w:type="dxa"/>
        </w:tblCellMar>
      </w:tblPr>
      <w:tblGrid>
        <w:gridCol w:w="38"/>
        <w:gridCol w:w="170"/>
        <w:gridCol w:w="9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debt warrants will commence and the date on which the right will expire;</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the material Cayman Islands or United States federal income tax considerations applicable to the debt warrants;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warrants represented by the debt warrant certificates will be issued in registered or bearer form, and, if registered, where they may be transferred and registered;</w:t>
            </w:r>
          </w:p>
        </w:tc>
      </w:tr>
    </w:tbl>
    <w:p>
      <w:pPr>
        <w:pStyle w:val="TextBody"/>
        <w:bidi w:val="0"/>
        <w:spacing w:before="0" w:after="0"/>
        <w:ind w:left="1080" w:right="0" w:hanging="0"/>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170"/>
        <w:gridCol w:w="4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anti-dilution provisions of the debt warrants, if any;</w:t>
            </w:r>
          </w:p>
        </w:tc>
      </w:tr>
    </w:tbl>
    <w:p>
      <w:pPr>
        <w:pStyle w:val="TextBody"/>
        <w:bidi w:val="0"/>
        <w:spacing w:before="0" w:after="0"/>
        <w:ind w:left="1080" w:right="0" w:hanging="0"/>
        <w:jc w:val="both"/>
        <w:rPr>
          <w:caps w:val="false"/>
          <w:smallCaps w:val="false"/>
        </w:rPr>
      </w:pPr>
      <w:r>
        <w:rPr>
          <w:caps w:val="false"/>
          <w:smallCaps w:val="false"/>
        </w:rPr>
        <w:t> </w:t>
      </w:r>
    </w:p>
    <w:tbl>
      <w:tblPr>
        <w:tblW w:w="6168" w:type="dxa"/>
        <w:jc w:val="left"/>
        <w:tblInd w:w="0" w:type="dxa"/>
        <w:tblLayout w:type="fixed"/>
        <w:tblCellMar>
          <w:top w:w="0" w:type="dxa"/>
          <w:left w:w="0" w:type="dxa"/>
          <w:bottom w:w="0" w:type="dxa"/>
          <w:right w:w="0" w:type="dxa"/>
        </w:tblCellMar>
      </w:tblPr>
      <w:tblGrid>
        <w:gridCol w:w="38"/>
        <w:gridCol w:w="170"/>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or call provisions, if any, applicable to the debt warrants; and</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terms of the debt warrants, including terms, procedures and limitations relating to the exchange and exercise of the debt warrants.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warrant certificates will be exchangeable for new debt warrant certificates of different denominations and, if in registered form, may be presented for registration of transfer, and debt warrants may be exercised at the corporate trust office of the debt warrant agent or any other office indicated in the related prospectus supplement. Before the exercise of debt warrants, holders of debt warrants will not be entitled to payments of principal of, premium, if any, or interest, if any, on the debt securities purchasable upon exercise of the debt warrants, or to enforce any of the covenants in the indentures governing such debt securities.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a_012"/>
      <w:bookmarkEnd w:id="13"/>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description of the rights to subscribe for Class A ordinary shares (the “Rights”), and any description of rights in the applicable prospectus supplement, does not purport to be complete and is subject to, and qualified in its entirety by reference to, the applicable rights agreement and provisions of the certificate evidencing the Rights that will be filed with the SEC in connection with the offering of such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issue Rights that the Company may offer to its securityholders from time to time. The Rights may or may not be transferable by the persons purchasing or receiving the Rights. In connection with any Rights offering, the Company may enter into a standby underwriting or other arrangement with one or more underwriters or other persons pursuant to which such underwriters or other persons would purchase any offered securities remaining unsubscribed for after such Rights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of Rights will be issued under a separate rights agent agreement to be entered into between the Company and a bank or trust company, as rights agent, that the Company will name in the applicable prospectus supplement. The rights agent will act solely as the Company’s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the Company may offer from time to time will describe specific terms relating to the offering, including, among other matters:</w:t>
      </w:r>
    </w:p>
    <w:p>
      <w:pPr>
        <w:pStyle w:val="TextBody"/>
        <w:bidi w:val="0"/>
        <w:spacing w:before="0" w:after="0"/>
        <w:ind w:left="0" w:right="0" w:firstLine="720"/>
        <w:jc w:val="both"/>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170"/>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Rights;</w:t>
            </w:r>
          </w:p>
        </w:tc>
      </w:tr>
    </w:tbl>
    <w:p>
      <w:pPr>
        <w:pStyle w:val="TextBody"/>
        <w:bidi w:val="0"/>
        <w:spacing w:before="0" w:after="0"/>
        <w:ind w:left="1080" w:right="0" w:hanging="0"/>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17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determining the securityholders entitled to the Rights distribution;</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Rights issued and the aggregate number of Class A ordinary shares purchasable upon exercise of the Rights;</w:t>
            </w:r>
          </w:p>
        </w:tc>
      </w:tr>
    </w:tbl>
    <w:p>
      <w:pPr>
        <w:pStyle w:val="TextBody"/>
        <w:bidi w:val="0"/>
        <w:spacing w:before="0" w:after="0"/>
        <w:ind w:left="1080" w:right="0" w:hanging="0"/>
        <w:jc w:val="both"/>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17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w:t>
            </w:r>
          </w:p>
        </w:tc>
      </w:tr>
    </w:tbl>
    <w:p>
      <w:pPr>
        <w:pStyle w:val="TextBody"/>
        <w:bidi w:val="0"/>
        <w:spacing w:before="0" w:after="0"/>
        <w:ind w:left="1080" w:right="0" w:hanging="0"/>
        <w:jc w:val="both"/>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38"/>
        <w:gridCol w:w="17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Rights become exercisable and the date on which the Rights will expire;</w:t>
            </w:r>
          </w:p>
        </w:tc>
      </w:tr>
    </w:tbl>
    <w:p>
      <w:pPr>
        <w:pStyle w:val="TextBody"/>
        <w:bidi w:val="0"/>
        <w:spacing w:before="0" w:after="0"/>
        <w:ind w:left="1080" w:right="0" w:hanging="0"/>
        <w:jc w:val="both"/>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17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Rights include an over-subscription privilege with respect to unsubscribed Securities;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a discussion of the material Cayman Islands and/or United States federal income tax considerations applicable to the issuance or exercise of such Rights;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material terms of any standby underwriting or other purchase arrangement that the Company may enter into in connection with the Rights offering; and</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of the Rights, including terms, transferability, conditions to completion of the Rights offering, procedures and limitation relating to the exchange and exercise of such Rights.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subscribe for cash the principal amount of Class A ordinary shares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 (unless subject to subscription by another third party pursuant to the terms of such rights offering as described in the relevant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the Company may offer any unsubscribed securities directly to persons other than the Company’s securityholders,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Aa_013"/>
      <w:bookmarkEnd w:id="14"/>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offer any units, certain terms of that series of units will be described in the applicable prospectus supplement, including, without limitation, the following, as applicable:</w:t>
      </w:r>
    </w:p>
    <w:p>
      <w:pPr>
        <w:pStyle w:val="TextBody"/>
        <w:bidi w:val="0"/>
        <w:spacing w:before="0" w:after="0"/>
        <w:ind w:left="0" w:right="0" w:firstLine="720"/>
        <w:jc w:val="both"/>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17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series of units;</w:t>
            </w:r>
          </w:p>
        </w:tc>
      </w:tr>
    </w:tbl>
    <w:p>
      <w:pPr>
        <w:pStyle w:val="TextBody"/>
        <w:bidi w:val="0"/>
        <w:spacing w:before="0" w:after="0"/>
        <w:ind w:left="1080" w:right="0" w:hanging="0"/>
        <w:jc w:val="both"/>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170"/>
        <w:gridCol w:w="7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and description of the separate constituent securities comprising the units;</w:t>
            </w:r>
          </w:p>
        </w:tc>
      </w:tr>
    </w:tbl>
    <w:p>
      <w:pPr>
        <w:pStyle w:val="TextBody"/>
        <w:bidi w:val="0"/>
        <w:spacing w:before="0" w:after="0"/>
        <w:ind w:left="1080" w:right="0" w:hanging="0"/>
        <w:jc w:val="both"/>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38"/>
        <w:gridCol w:w="170"/>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or prices at which the units will be issued;</w:t>
            </w:r>
          </w:p>
        </w:tc>
      </w:tr>
    </w:tbl>
    <w:p>
      <w:pPr>
        <w:pStyle w:val="TextBody"/>
        <w:bidi w:val="0"/>
        <w:spacing w:before="0" w:after="0"/>
        <w:ind w:left="1080" w:right="0" w:hanging="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17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on and after which the constituent securities comprising the units will be separately transferable;</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the material Cayman Islands and United States federal income tax considerations applicable to the units; and</w:t>
            </w:r>
          </w:p>
        </w:tc>
      </w:tr>
    </w:tbl>
    <w:p>
      <w:pPr>
        <w:pStyle w:val="TextBody"/>
        <w:bidi w:val="0"/>
        <w:spacing w:before="0" w:after="0"/>
        <w:ind w:left="1080" w:right="0" w:hanging="0"/>
        <w:jc w:val="both"/>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38"/>
        <w:gridCol w:w="170"/>
        <w:gridCol w:w="4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units and their constituent securities.</w:t>
            </w:r>
          </w:p>
        </w:tc>
      </w:tr>
    </w:tbl>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a_014"/>
      <w:bookmarkEnd w:id="15"/>
      <w:r>
        <w:rPr>
          <w:rFonts w:ascii="Times New Roman;Times;Serif" w:hAnsi="Times New Roman;Times;Serif"/>
          <w:b/>
          <w:i w:val="false"/>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tax consequences relating to the purchase, ownership and disposition of any of the securities registered by this prospectus will be set forth in any applicable prospectus supplement relating to the offering of such securities.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a_015"/>
      <w:bookmarkEnd w:id="16"/>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the securities being offered hereby in one or more of the following ways from time to time:</w:t>
      </w:r>
    </w:p>
    <w:p>
      <w:pPr>
        <w:pStyle w:val="TextBody"/>
        <w:bidi w:val="0"/>
        <w:spacing w:before="0" w:after="0"/>
        <w:ind w:left="0" w:right="0" w:firstLine="720"/>
        <w:jc w:val="both"/>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17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agents;</w:t>
            </w:r>
          </w:p>
        </w:tc>
      </w:tr>
    </w:tbl>
    <w:p>
      <w:pPr>
        <w:pStyle w:val="TextBody"/>
        <w:bidi w:val="0"/>
        <w:spacing w:before="0" w:after="0"/>
        <w:ind w:left="1080" w:right="0" w:hanging="360"/>
        <w:jc w:val="both"/>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17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underwriters;</w:t>
            </w:r>
          </w:p>
        </w:tc>
      </w:tr>
    </w:tbl>
    <w:p>
      <w:pPr>
        <w:pStyle w:val="TextBody"/>
        <w:bidi w:val="0"/>
        <w:spacing w:before="0" w:after="0"/>
        <w:ind w:left="1080" w:right="0" w:hanging="360"/>
        <w:jc w:val="both"/>
        <w:rPr>
          <w:caps w:val="false"/>
          <w:smallCaps w:val="false"/>
        </w:rPr>
      </w:pPr>
      <w:r>
        <w:rPr>
          <w:caps w:val="false"/>
          <w:smallCaps w:val="false"/>
        </w:rPr>
        <w:t> </w:t>
      </w:r>
    </w:p>
    <w:tbl>
      <w:tblPr>
        <w:tblW w:w="10203" w:type="dxa"/>
        <w:jc w:val="left"/>
        <w:tblInd w:w="0" w:type="dxa"/>
        <w:tblLayout w:type="fixed"/>
        <w:tblCellMar>
          <w:top w:w="0" w:type="dxa"/>
          <w:left w:w="0" w:type="dxa"/>
          <w:bottom w:w="0" w:type="dxa"/>
          <w:right w:w="0" w:type="dxa"/>
        </w:tblCellMar>
      </w:tblPr>
      <w:tblGrid>
        <w:gridCol w:w="38"/>
        <w:gridCol w:w="170"/>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any national securities exchange or quotation service on which the securities may be listed or quoted at the time of sale;</w:t>
            </w:r>
          </w:p>
        </w:tc>
      </w:tr>
    </w:tbl>
    <w:p>
      <w:pPr>
        <w:pStyle w:val="TextBody"/>
        <w:bidi w:val="0"/>
        <w:spacing w:before="0" w:after="0"/>
        <w:ind w:left="1080" w:right="0" w:hanging="360"/>
        <w:jc w:val="both"/>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over-the-counter market;</w:t>
            </w:r>
          </w:p>
        </w:tc>
      </w:tr>
    </w:tbl>
    <w:p>
      <w:pPr>
        <w:pStyle w:val="TextBody"/>
        <w:bidi w:val="0"/>
        <w:spacing w:before="0" w:after="0"/>
        <w:ind w:left="1080" w:right="0" w:hanging="360"/>
        <w:jc w:val="both"/>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38"/>
        <w:gridCol w:w="17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other than on these exchanges or systems or in the over-the-counter market;</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“at the market offerings,” within the meaning of Rule 415(a)(4) under the Securities Act, to or through a market maker or into an existing trading market, on an exchange or otherwise;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bl>
    <w:p>
      <w:pPr>
        <w:pStyle w:val="TextBody"/>
        <w:bidi w:val="0"/>
        <w:spacing w:before="0" w:after="0"/>
        <w:ind w:left="1080" w:right="0" w:hanging="360"/>
        <w:jc w:val="both"/>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bl>
    <w:p>
      <w:pPr>
        <w:pStyle w:val="TextBody"/>
        <w:bidi w:val="0"/>
        <w:spacing w:before="0" w:after="0"/>
        <w:ind w:left="1080" w:right="0" w:hanging="360"/>
        <w:jc w:val="both"/>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38"/>
        <w:gridCol w:w="17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bl>
    <w:p>
      <w:pPr>
        <w:pStyle w:val="TextBody"/>
        <w:bidi w:val="0"/>
        <w:spacing w:before="0" w:after="0"/>
        <w:ind w:left="1080" w:right="0" w:hanging="360"/>
        <w:jc w:val="both"/>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38"/>
        <w:gridCol w:w="17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bl>
    <w:p>
      <w:pPr>
        <w:pStyle w:val="TextBody"/>
        <w:bidi w:val="0"/>
        <w:spacing w:before="0" w:after="0"/>
        <w:ind w:left="1080" w:right="0" w:hanging="360"/>
        <w:jc w:val="both"/>
        <w:rPr>
          <w:caps w:val="false"/>
          <w:smallCaps w:val="false"/>
        </w:rPr>
      </w:pPr>
      <w:r>
        <w:rPr>
          <w:caps w:val="false"/>
          <w:smallCaps w:val="false"/>
        </w:rPr>
        <w:t> </w:t>
      </w:r>
    </w:p>
    <w:tbl>
      <w:tblPr>
        <w:tblW w:w="9978" w:type="dxa"/>
        <w:jc w:val="left"/>
        <w:tblInd w:w="0" w:type="dxa"/>
        <w:tblLayout w:type="fixed"/>
        <w:tblCellMar>
          <w:top w:w="0" w:type="dxa"/>
          <w:left w:w="0" w:type="dxa"/>
          <w:bottom w:w="0" w:type="dxa"/>
          <w:right w:w="0" w:type="dxa"/>
        </w:tblCellMar>
      </w:tblPr>
      <w:tblGrid>
        <w:gridCol w:w="38"/>
        <w:gridCol w:w="170"/>
        <w:gridCol w:w="9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by us or by selling securityholders to purchasers, including through a specific bidding, auction or other process;</w:t>
            </w:r>
          </w:p>
        </w:tc>
      </w:tr>
    </w:tbl>
    <w:p>
      <w:pPr>
        <w:pStyle w:val="TextBody"/>
        <w:bidi w:val="0"/>
        <w:spacing w:before="0" w:after="0"/>
        <w:ind w:left="1080" w:right="0" w:hanging="360"/>
        <w:jc w:val="both"/>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bl>
    <w:p>
      <w:pPr>
        <w:pStyle w:val="TextBody"/>
        <w:bidi w:val="0"/>
        <w:spacing w:before="0" w:after="0"/>
        <w:ind w:left="1080" w:right="0" w:hanging="360"/>
        <w:jc w:val="both"/>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38"/>
        <w:gridCol w:w="17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of the above methods of sale; and</w:t>
            </w:r>
          </w:p>
        </w:tc>
      </w:tr>
    </w:tbl>
    <w:p>
      <w:pPr>
        <w:pStyle w:val="TextBody"/>
        <w:bidi w:val="0"/>
        <w:spacing w:before="0" w:after="0"/>
        <w:ind w:left="1080" w:right="0" w:hanging="360"/>
        <w:jc w:val="both"/>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170"/>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any other method permitted pursuant to applicable law and described in a prospectus supplement.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offer and sell, or agree to deliver, securities pursuant to, or in connection with, any option agreement or other contractual arrangement. The securities may be distributed from time to time in one or more transactions:</w:t>
      </w:r>
    </w:p>
    <w:p>
      <w:pPr>
        <w:pStyle w:val="TextBody"/>
        <w:bidi w:val="0"/>
        <w:spacing w:before="0" w:after="0"/>
        <w:ind w:left="0" w:right="0" w:firstLine="720"/>
        <w:jc w:val="both"/>
        <w:rPr>
          <w:caps w:val="false"/>
          <w:smallCaps w:val="false"/>
        </w:rPr>
      </w:pPr>
      <w:r>
        <w:rPr>
          <w:caps w:val="false"/>
          <w:smallCaps w:val="false"/>
        </w:rPr>
        <w:t> </w:t>
      </w:r>
    </w:p>
    <w:tbl>
      <w:tblPr>
        <w:tblW w:w="4188" w:type="dxa"/>
        <w:jc w:val="left"/>
        <w:tblInd w:w="0" w:type="dxa"/>
        <w:tblLayout w:type="fixed"/>
        <w:tblCellMar>
          <w:top w:w="0" w:type="dxa"/>
          <w:left w:w="0" w:type="dxa"/>
          <w:bottom w:w="0" w:type="dxa"/>
          <w:right w:w="0" w:type="dxa"/>
        </w:tblCellMar>
      </w:tblPr>
      <w:tblGrid>
        <w:gridCol w:w="38"/>
        <w:gridCol w:w="170"/>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fixed price or prices, which may be changed;</w:t>
            </w:r>
          </w:p>
        </w:tc>
      </w:tr>
    </w:tbl>
    <w:p>
      <w:pPr>
        <w:pStyle w:val="TextBody"/>
        <w:bidi w:val="0"/>
        <w:spacing w:before="0" w:after="0"/>
        <w:ind w:left="1080" w:right="0" w:hanging="0"/>
        <w:jc w:val="both"/>
        <w:rPr>
          <w:caps w:val="false"/>
          <w:smallCaps w:val="false"/>
        </w:rPr>
      </w:pPr>
      <w:r>
        <w:rPr>
          <w:caps w:val="false"/>
          <w:smallCaps w:val="false"/>
        </w:rPr>
        <w:t> </w:t>
      </w:r>
    </w:p>
    <w:tbl>
      <w:tblPr>
        <w:tblW w:w="3933" w:type="dxa"/>
        <w:jc w:val="left"/>
        <w:tblInd w:w="0" w:type="dxa"/>
        <w:tblLayout w:type="fixed"/>
        <w:tblCellMar>
          <w:top w:w="0" w:type="dxa"/>
          <w:left w:w="0" w:type="dxa"/>
          <w:bottom w:w="0" w:type="dxa"/>
          <w:right w:w="0" w:type="dxa"/>
        </w:tblCellMar>
      </w:tblPr>
      <w:tblGrid>
        <w:gridCol w:w="38"/>
        <w:gridCol w:w="170"/>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market prices prevailing at the time of sale;</w:t>
            </w:r>
          </w:p>
        </w:tc>
      </w:tr>
    </w:tbl>
    <w:p>
      <w:pPr>
        <w:pStyle w:val="TextBody"/>
        <w:bidi w:val="0"/>
        <w:spacing w:before="0" w:after="0"/>
        <w:ind w:left="1080" w:right="0" w:hanging="0"/>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170"/>
        <w:gridCol w:w="4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prices related to such prevailing market prices; or</w:t>
            </w:r>
          </w:p>
        </w:tc>
      </w:tr>
    </w:tbl>
    <w:p>
      <w:pPr>
        <w:pStyle w:val="TextBody"/>
        <w:bidi w:val="0"/>
        <w:spacing w:before="0" w:after="0"/>
        <w:ind w:left="1080" w:right="0" w:hanging="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17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negotiated prices.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Class A ordinary shares will be listed on the NYSE American,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shares, and may use securities received from us in settlement of those derivatives to close out any related open borrowings of shares.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 negotiated transactions, or through an underwritten public offering, or through a combination of any such methods of sale, at market prices prevailing at the time of sale, prices relating to such prevailing market prices or at negotiated or fixed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of any lock-up provisions in respect of any given offering will be described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of any offering of our securities will be detailed in the applicable prospectus supplement. The underwriters, dealers and agents may engage in transactions with us, or perform services for us, in the ordinary course of business for which they receive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identify the specific plan of distribution, including any agents, underwriters, dealers, remarketing firms or other third parties and their compensation in a prospectus supplement.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a_016"/>
      <w:bookmarkEnd w:id="17"/>
      <w:r>
        <w:rPr>
          <w:rFonts w:ascii="Times New Roman;Times;Serif" w:hAnsi="Times New Roman;Times;Serif"/>
          <w:b/>
          <w:i w:val="false"/>
          <w:caps w:val="false"/>
          <w:smallCaps w:val="false"/>
          <w:sz w:val="20"/>
        </w:rPr>
        <w:t>EXPENSES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statement of expenses in connection with the distribution of the securities registered.</w:t>
      </w:r>
    </w:p>
    <w:p>
      <w:pPr>
        <w:pStyle w:val="TextBody"/>
        <w:bidi w:val="0"/>
        <w:spacing w:before="0" w:after="0"/>
        <w:ind w:left="0" w:right="0" w:firstLine="720"/>
        <w:jc w:val="both"/>
        <w:rPr>
          <w:caps w:val="false"/>
          <w:smallCaps w:val="false"/>
        </w:rPr>
      </w:pPr>
      <w:r>
        <w:rPr>
          <w:caps w:val="false"/>
          <w:smallCaps w:val="false"/>
        </w:rPr>
        <w:t> </w:t>
      </w:r>
    </w:p>
    <w:tbl>
      <w:tblPr>
        <w:tblW w:w="4455" w:type="dxa"/>
        <w:jc w:val="left"/>
        <w:tblInd w:w="0" w:type="dxa"/>
        <w:tblLayout w:type="fixed"/>
        <w:tblCellMar>
          <w:top w:w="0" w:type="dxa"/>
          <w:left w:w="0" w:type="dxa"/>
          <w:bottom w:w="28" w:type="dxa"/>
          <w:right w:w="0" w:type="dxa"/>
        </w:tblCellMar>
      </w:tblPr>
      <w:tblGrid>
        <w:gridCol w:w="3605"/>
        <w:gridCol w:w="60"/>
        <w:gridCol w:w="125"/>
        <w:gridCol w:w="590"/>
        <w:gridCol w:w="75"/>
      </w:tblGrid>
      <w:tr>
        <w:trPr/>
        <w:tc>
          <w:tcPr>
            <w:tcW w:w="360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360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registration fee</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13,810</w:t>
            </w:r>
          </w:p>
        </w:tc>
        <w:tc>
          <w:tcPr>
            <w:tcW w:w="75"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360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FINRA filing fee</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360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accounting fees and expenses</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360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and transfer agent fees and expenses</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360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costs</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360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fees and expenses are not presently known. If required, to be provided by a prospectus supplement or as an exhibit to a Report on Form 6-K that is incorporated by reference into this prospectus.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a_017"/>
      <w:bookmarkEnd w:id="18"/>
      <w:r>
        <w:rPr>
          <w:rFonts w:ascii="Times New Roman;Times;Serif" w:hAnsi="Times New Roman;Times;Serif"/>
          <w:b/>
          <w:i w:val="false"/>
          <w:caps w:val="false"/>
          <w:smallCaps w:val="false"/>
          <w:sz w:val="20"/>
        </w:rPr>
        <w:t>LEGAL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Class A ordinary shares and the preferred shares being registered hereby and certain other matters of Cayman Islands law will be passed upon for us by Harney Westwood &amp; Riegels Singapore LLP. The validity of the warrants, debt securities, Rights and units being registered hereby and certain other matters of New York state law and United States federal securities laws will be passed upon for us by Rimôn, our U.S. counsel. Additional legal matters may be passed upon for us, any underwriters, dealers or agents by counsel that we will name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a_018"/>
      <w:bookmarkEnd w:id="19"/>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in this prospectus and registration statement on Form F-3 by reference to the Company’s Annual Report on Form 20-F for the year ended September 30, 2025 and 2024 and the results of its operations and its cash flows for each of the three years in the period ended September 30, 2025, have been so incorporated in reliance on the report of Simon &amp; Edward LLP, an independent registered public accounting firm, given on the authority of said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a_019"/>
      <w:bookmarkEnd w:id="20"/>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exempted company incorporated with limited liability under the laws of the Cayman Islands.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less protection for investors. In addition, Cayman Islands companies may not have the standing to sue before the U.S. federal courts.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operations are conducted outside of the United States, and all of our current assets are located outside of the United States, with the majority of our operations and current assets being located in Singapore. All of the directors and executive officers of the Company and the auditors of the Company reside outside the United States, and substantially all of their assets are located outside the United States. As a result, it may not be possible for investors to effect service of process within the United States upon us or any such persons, or to enforce in the United States any judgment obtained in the U.S. courts against us or any of such persons, including judgments based upon the civil liability provisions of the U.S. securities laws or any U.S. state or territory.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located at 122 East 42nd Street, 18th Floor New York, NY 10168, as our agent upon whom process may be served in any action brought against us under the securities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Harney Westwood &amp; Riegels Singapore LLP, our counsel as to Cayman Islands law, has advised us that there is uncertainty as to whether the courts of the Cayman Islands would (i) recognize or enforce judgments of the U.S. courts obtained against us or our directors or executive officers that are predicated upon the civil liability provisions of the U.S. securities laws or any U.S. state; or (ii) entertain original actions brought in the Cayman Islands against us or our directors or executive officers that are predicated upon the U.S. securities laws or the securities laws of any U.S.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Harney Westwood &amp; Riegels Singapore LLP that, 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would recognize as a valid judgment a final and conclusive judgment in personam obtained in the federal or state courts of the United States against the Company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However, the Cayman Islands courts are unlikely to enforce a judgment obtained from United States courts under the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date of this prospectus, there is no treaty between the United States and Singapore providing for the reciprocal recognition and enforcement of judgments in civil and commercial matters, and a final judgment for the payment of money rendered by any federal or state court in the United States based on civil liability, whether or not predicated solely upon the federal securities laws of the United States, would, therefore, not be automatically enforceable in Singapore. We have accordingly been advised by our Singapore legal counsel AEI Legal LLC that there is no statutory enforcement in Singapore as to judgments of courts in the United States based upon the civil liability provisions of the securities laws of the United States or any state or territory of the United States. A final and conclusive judgment rendered by the federal or state courts of the United States under which a fixed or ascertained sum of money is payable may generally be enforced as a debt in the Singapore courts under the common law so long as it is established that the Singapore courts have jurisdiction over the judgment debtor, the foreign judgment was on the merits of the case and given by a court of law of competent jurisdiction. However, the Singapore courts are unlikely to enforce a foreign judgment if (a) the foreign judgment would conflict with an earlier local judgment from Singapore or an earlier foreign judgment recognized under the private international law of Singapore; (b) the enforcement of the foreign judgment would contravene the public policy of Singapore; (c) the proceedings in which the foreign judgment was obtained were contrary to principles of natural justice; (d) the foreign judgment was obtained by fraud; or (e) the enforcement of the foreign judgment would amount to the direct or indirect enforcement of a foreign penal, revenue or other public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Singapore courts may also not allow the enforcement of any foreign judgment for a sum payable in respect of taxes, fines, penalties or other similar charges, including the judgments of courts in the United States based upon the civil liability provisions of the securities laws of the United States or any state or territory of the United States to the extent that doing so would amount to the direct or indirect enforcement of foreign penal, revenue or other public laws. In respect of civil liability provisions of the United States federal and state securities laws that permit punitive damages against us and our directors or executive officers, we are unaware of any reported decision by the Singapore courts that has conclusively considered the specific issue of whether a judgment of a United States court based on such civil liability provisions of the securities laws of the United States, or any state or territory of the United States, is enforceable in Singapore.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a_020"/>
      <w:bookmarkEnd w:id="21"/>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SEC’s rules allow us to “incorporate by reference” the information we file with the SEC, which means that we can disclose important information to you by referring you to other documents filed separately with the SEC. The information incorporated by reference is considered to be part of this prospectus. Any information that we file later with the SEC and that is deemed incorporated by reference will automatically update and supersede the information in this prospectus.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will be deemed to incorporate by reference the following documents, except that we do not incorporate any document or portion of a document that was furnished and deemed by the rules of the SEC not to have been filed:</w:t>
      </w:r>
    </w:p>
    <w:p>
      <w:pPr>
        <w:pStyle w:val="TextBody"/>
        <w:bidi w:val="0"/>
        <w:spacing w:before="0" w:after="0"/>
        <w:ind w:left="0" w:right="0" w:hanging="0"/>
        <w:jc w:val="both"/>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7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4">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year ended September 30, 2025, filed with the SEC on February 17, 2026;</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Reports on Form 6-K furnished to the SEC on August 7, 2026 (including </w:t>
            </w:r>
            <w:hyperlink r:id="rId5">
              <w:r>
                <w:rPr>
                  <w:rStyle w:val="InternetLink"/>
                  <w:rFonts w:ascii="Times New Roman;Times;Serif" w:hAnsi="Times New Roman;Times;Serif"/>
                  <w:b w:val="false"/>
                  <w:i w:val="false"/>
                  <w:caps w:val="false"/>
                  <w:smallCaps w:val="false"/>
                  <w:sz w:val="20"/>
                </w:rPr>
                <w:t>Exhibit 99.1</w:t>
              </w:r>
            </w:hyperlink>
            <w:r>
              <w:rPr>
                <w:rFonts w:ascii="Times New Roman;Times;Serif" w:hAnsi="Times New Roman;Times;Serif"/>
                <w:b w:val="false"/>
                <w:i w:val="false"/>
                <w:caps w:val="false"/>
                <w:smallCaps w:val="false"/>
                <w:sz w:val="20"/>
              </w:rPr>
              <w:t xml:space="preserve"> thereto), July 21, 2026 (including </w:t>
            </w:r>
            <w:hyperlink r:id="rId6">
              <w:r>
                <w:rPr>
                  <w:rStyle w:val="InternetLink"/>
                  <w:rFonts w:ascii="Times New Roman;Times;Serif" w:hAnsi="Times New Roman;Times;Serif"/>
                  <w:b w:val="false"/>
                  <w:i w:val="false"/>
                  <w:caps w:val="false"/>
                  <w:smallCaps w:val="false"/>
                  <w:sz w:val="20"/>
                </w:rPr>
                <w:t>Exhibit 99.1</w:t>
              </w:r>
            </w:hyperlink>
            <w:r>
              <w:rPr>
                <w:rFonts w:ascii="Times New Roman;Times;Serif" w:hAnsi="Times New Roman;Times;Serif"/>
                <w:b w:val="false"/>
                <w:i w:val="false"/>
                <w:caps w:val="false"/>
                <w:smallCaps w:val="false"/>
                <w:sz w:val="20"/>
              </w:rPr>
              <w:t xml:space="preserve"> thereto), June 8, 2026 (including </w:t>
            </w:r>
            <w:hyperlink r:id="rId7">
              <w:r>
                <w:rPr>
                  <w:rStyle w:val="InternetLink"/>
                  <w:rFonts w:ascii="Times New Roman;Times;Serif" w:hAnsi="Times New Roman;Times;Serif"/>
                  <w:b w:val="false"/>
                  <w:i w:val="false"/>
                  <w:caps w:val="false"/>
                  <w:smallCaps w:val="false"/>
                  <w:sz w:val="20"/>
                </w:rPr>
                <w:t>Exhibit 99.1</w:t>
              </w:r>
            </w:hyperlink>
            <w:r>
              <w:rPr>
                <w:rFonts w:ascii="Times New Roman;Times;Serif" w:hAnsi="Times New Roman;Times;Serif"/>
                <w:b w:val="false"/>
                <w:i w:val="false"/>
                <w:caps w:val="false"/>
                <w:smallCaps w:val="false"/>
                <w:sz w:val="20"/>
              </w:rPr>
              <w:t xml:space="preserve"> thereto), February 17, 2026 (including </w:t>
            </w:r>
            <w:hyperlink r:id="rId8">
              <w:r>
                <w:rPr>
                  <w:rStyle w:val="InternetLink"/>
                  <w:rFonts w:ascii="Times New Roman;Times;Serif" w:hAnsi="Times New Roman;Times;Serif"/>
                  <w:b w:val="false"/>
                  <w:i w:val="false"/>
                  <w:caps w:val="false"/>
                  <w:smallCaps w:val="false"/>
                  <w:sz w:val="20"/>
                </w:rPr>
                <w:t>Exhibit 99.1</w:t>
              </w:r>
            </w:hyperlink>
            <w:r>
              <w:rPr>
                <w:rFonts w:ascii="Times New Roman;Times;Serif" w:hAnsi="Times New Roman;Times;Serif"/>
                <w:b w:val="false"/>
                <w:i w:val="false"/>
                <w:caps w:val="false"/>
                <w:smallCaps w:val="false"/>
                <w:sz w:val="20"/>
              </w:rPr>
              <w:t xml:space="preserve"> thereto), and July 22, 2025 (including </w:t>
            </w:r>
            <w:hyperlink r:id="rId9">
              <w:r>
                <w:rPr>
                  <w:rStyle w:val="InternetLink"/>
                  <w:rFonts w:ascii="Times New Roman;Times;Serif" w:hAnsi="Times New Roman;Times;Serif"/>
                  <w:b w:val="false"/>
                  <w:i w:val="false"/>
                  <w:caps w:val="false"/>
                  <w:smallCaps w:val="false"/>
                  <w:sz w:val="20"/>
                </w:rPr>
                <w:t>Exhibit 99.1</w:t>
              </w:r>
            </w:hyperlink>
            <w:r>
              <w:rPr>
                <w:rFonts w:ascii="Times New Roman;Times;Serif" w:hAnsi="Times New Roman;Times;Serif"/>
                <w:b w:val="false"/>
                <w:i w:val="false"/>
                <w:caps w:val="false"/>
                <w:smallCaps w:val="false"/>
                <w:sz w:val="20"/>
              </w:rPr>
              <w:t xml:space="preserve"> thereto);</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securities contained in our registration statement on </w:t>
            </w:r>
            <w:hyperlink r:id="rId10">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with the SEC on June 13, 2025 and any amendment or report filed with the SEC for the purpose of updating the description;</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annual reports on Form 20-F filed with the SEC after the date of this prospectus and prior to the termination of the offering of the securities offered by this prospectus;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reports on Form 6-K that we furnish to the SEC after the date of this prospectus that are identified in such reports as being incorporated by reference in this prospectus.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cases, you should rely on the later information over different information included in this prospectus or any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shall be deemed to incorporate by reference information furnished to, but not filed with, the SEC. We will provide without charge to each person, including any beneficial owner, to whom this prospectus is delivered, upon his or her written or oral request, a copy of any or all documents referred to above which have been or may be incorporated by reference into this prospectus. You may obtain a copy of these documents by writing to or telephoning us at the following address: c/o Ascentium, 4th Floor, Harbour Place, 103 South Church Street, P.O. Box 10240, Grand Cayman KY1-1002, Attention: Cindy Choo, and our email address is cindy@enigmatig.com. Alternatively, copies of these documents are available via our website (</w:t>
      </w:r>
      <w:r>
        <w:rPr>
          <w:rFonts w:ascii="Times New Roman;Times;Serif" w:hAnsi="Times New Roman;Times;Serif"/>
          <w:b w:val="false"/>
          <w:i w:val="false"/>
          <w:caps w:val="false"/>
          <w:smallCaps w:val="false"/>
          <w:sz w:val="20"/>
          <w:u w:val="single"/>
        </w:rPr>
        <w:t>https://www.enigmatig.com</w:t>
      </w:r>
      <w:r>
        <w:rPr>
          <w:rFonts w:ascii="Times New Roman;Times;Serif" w:hAnsi="Times New Roman;Times;Serif"/>
          <w:b w:val="false"/>
          <w:i w:val="false"/>
          <w:caps w:val="false"/>
          <w:smallCaps w:val="false"/>
          <w:sz w:val="20"/>
        </w:rPr>
        <w:t>), or as described under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below. The information on our website is not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or any prospectus supplement. We have not authorized anyone else to provide you with different information. We are not making an offer of these securities in any state where the offer is not permitted. You should not assume that the information in this prospectus or any prospectus supplement is accurate as of any date other than the date on the front of those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by reference herein shall be deemed to be modified or superseded for purposes of this prospectus to the extent that a statement contained herein, or in a subsequently filed document incorporated by reference herein, modifies or supersedes that statement. Any statement so modified or superseded shall not be deemed, except as so modified or superseded, to constitute part of this prospectus.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a_021"/>
      <w:bookmarkEnd w:id="22"/>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the registration statement on Form F-3 we filed with the SEC under the Securities Act, and does not contain all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Exchange Act that are applicable to foreign private issuers. Accordingly, we are required to file or furnish reports and other information with the SEC, including annual reports on Form 20-F and reports on Form 6-K. The SEC maintains an internet website at http://www.sec.gov, from which you can electronically access the registration statement and its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is https://www.enigmatig.com. The information on our website, however, is not, and should not be deemed to be, a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certain of the requirements under the Exchange Act including, among other things, the rules prescribing the furnishing and content of proxy statements, and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ENIGMATIG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743200" cy="4483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1"/>
                    <a:stretch>
                      <a:fillRect/>
                    </a:stretch>
                  </pic:blipFill>
                  <pic:spPr bwMode="auto">
                    <a:xfrm>
                      <a:off x="0" y="0"/>
                      <a:ext cx="2743200" cy="44831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Up to $100,000,000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Class A Ordinary Shares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Preferred Shares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Warrants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Rights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September 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8"/>
        </w:rPr>
        <w:t>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THE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where any such provision may be held by the Cayman Islands courts to be contrary to public policy, such as to provide indemnification against willful default, willful neglect, actual fraud or the consequences of committing a crime. Our amended and restated Memorandum and Articles of Association permit indemnification of officers and directors to the maximum extent permitted by law, including for any liability incurred in their capacities as such.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of the registration statement are listed in the Exhibit Index to this registration statement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Schedules have been omitted because the information required to be set forth therein is not applicable or is shown in the audited consolidated financial statements or the notes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1080" w:right="0" w:hanging="0"/>
        <w:jc w:val="both"/>
        <w:rPr>
          <w:caps w:val="false"/>
          <w:smallCaps w:val="false"/>
        </w:rPr>
      </w:pPr>
      <w:r>
        <w:rPr>
          <w:caps w:val="false"/>
          <w:smallCaps w:val="false"/>
        </w:rPr>
        <w:t> </w:t>
      </w:r>
    </w:p>
    <w:tbl>
      <w:tblPr>
        <w:tblW w:w="7158" w:type="dxa"/>
        <w:jc w:val="left"/>
        <w:tblInd w:w="0" w:type="dxa"/>
        <w:tblLayout w:type="fixed"/>
        <w:tblCellMar>
          <w:top w:w="0" w:type="dxa"/>
          <w:left w:w="0" w:type="dxa"/>
          <w:bottom w:w="0" w:type="dxa"/>
          <w:right w:w="0" w:type="dxa"/>
        </w:tblCellMar>
      </w:tblPr>
      <w:tblGrid>
        <w:gridCol w:w="38"/>
        <w:gridCol w:w="20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 of 1933;</w:t>
            </w:r>
          </w:p>
        </w:tc>
      </w:tr>
    </w:tbl>
    <w:p>
      <w:pPr>
        <w:pStyle w:val="TextBody"/>
        <w:bidi w:val="0"/>
        <w:spacing w:before="0" w:after="0"/>
        <w:ind w:left="200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72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Securities Exchange Act of 1934 that are incorporated by reference in this Form F-3.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under the Securities Act of 1933 to any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w:t>
            </w:r>
          </w:p>
        </w:tc>
      </w:tr>
    </w:tbl>
    <w:p>
      <w:pPr>
        <w:pStyle w:val="TextBody"/>
        <w:bidi w:val="0"/>
        <w:spacing w:before="0" w:after="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bl>
    <w:p>
      <w:pPr>
        <w:pStyle w:val="TextBody"/>
        <w:bidi w:val="0"/>
        <w:spacing w:before="0" w:after="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2"/>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1800" w:right="0" w:hanging="0"/>
        <w:jc w:val="both"/>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305"/>
        <w:gridCol w:w="879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8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communication that is an offer in the offering made by the undersigned registrant to the purchaser.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Underwriting Agreement</w:t>
            </w:r>
          </w:p>
        </w:tc>
      </w:tr>
      <w:tr>
        <w:trPr/>
        <w:tc>
          <w:tcPr>
            <w:tcW w:w="72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Amended and Restated Memorandum and Articles of Association of the Registrant, as currently in effect (incorporated by reference to Exhibit 3.1 to our registration statement on Form F-1/A (File No. 333-286211) filed with the SEC on April 16, 2025)</w:t>
              </w:r>
            </w:hyperlink>
          </w:p>
        </w:tc>
      </w:tr>
      <w:tr>
        <w:trPr/>
        <w:tc>
          <w:tcPr>
            <w:tcW w:w="72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Registrant’s Specimen Certificate for Class A ordinary shares (incorporated by reference to Exhibit 4.1 to our registration statement on Form F-1/A (File No. 333-286211) filed with the SEC on April 16, 2025)</w:t>
              </w:r>
            </w:hyperlink>
          </w:p>
        </w:tc>
      </w:tr>
      <w:tr>
        <w:trPr/>
        <w:tc>
          <w:tcPr>
            <w:tcW w:w="72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Preferred Share Certificate</w:t>
            </w:r>
          </w:p>
        </w:tc>
      </w:tr>
      <w:tr>
        <w:trPr/>
        <w:tc>
          <w:tcPr>
            <w:tcW w:w="72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Indenture and Form of Debt Security</w:t>
            </w:r>
          </w:p>
        </w:tc>
      </w:tr>
      <w:tr>
        <w:trPr/>
        <w:tc>
          <w:tcPr>
            <w:tcW w:w="72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Ordinary Share Warrant Agreement and Warrant Certificate</w:t>
            </w:r>
          </w:p>
        </w:tc>
      </w:tr>
      <w:tr>
        <w:trPr/>
        <w:tc>
          <w:tcPr>
            <w:tcW w:w="72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Debt Securities Warrant Agreement and Warrant Certificate</w:t>
            </w:r>
          </w:p>
        </w:tc>
      </w:tr>
      <w:tr>
        <w:trPr/>
        <w:tc>
          <w:tcPr>
            <w:tcW w:w="72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Rights Agreement and Rights Certificate</w:t>
            </w:r>
          </w:p>
        </w:tc>
      </w:tr>
      <w:tr>
        <w:trPr/>
        <w:tc>
          <w:tcPr>
            <w:tcW w:w="72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Unit Agreement and Unit Certificate</w:t>
            </w:r>
          </w:p>
        </w:tc>
      </w:tr>
      <w:tr>
        <w:trPr/>
        <w:tc>
          <w:tcPr>
            <w:tcW w:w="72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Harney Westwood &amp; Riegels Singapore LLP as to the validity of ENIGMATIG LIMITED Class A ordinary shares and preferred shares</w:t>
              </w:r>
            </w:hyperlink>
          </w:p>
        </w:tc>
      </w:tr>
      <w:tr>
        <w:trPr/>
        <w:tc>
          <w:tcPr>
            <w:tcW w:w="72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Harney Westwood &amp; Riegels Singapore LLP (included in Exhibit 5.1)</w:t>
              </w:r>
            </w:hyperlink>
          </w:p>
        </w:tc>
      </w:tr>
      <w:tr>
        <w:trPr/>
        <w:tc>
          <w:tcPr>
            <w:tcW w:w="72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pPr>
            <w:hyperlink w:anchor="ex23-2.htm">
              <w:r>
                <w:rPr>
                  <w:rStyle w:val="InternetLink"/>
                  <w:rFonts w:ascii="Times New Roman;Times;Serif" w:hAnsi="Times New Roman;Times;Serif"/>
                  <w:b w:val="false"/>
                  <w:i w:val="false"/>
                  <w:caps w:val="false"/>
                  <w:smallCaps w:val="false"/>
                  <w:sz w:val="20"/>
                </w:rPr>
                <w:t>Consent of Simon &amp; Edward LLP, independent registered public accounting firm for report dated February 17, 2026</w:t>
              </w:r>
            </w:hyperlink>
          </w:p>
        </w:tc>
      </w:tr>
      <w:tr>
        <w:trPr/>
        <w:tc>
          <w:tcPr>
            <w:tcW w:w="72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pPr>
            <w:hyperlink w:anchor="poa_001">
              <w:r>
                <w:rPr>
                  <w:rStyle w:val="InternetLink"/>
                  <w:rFonts w:ascii="Times New Roman;Times;Serif" w:hAnsi="Times New Roman;Times;Serif"/>
                  <w:b w:val="false"/>
                  <w:i w:val="false"/>
                  <w:caps w:val="false"/>
                  <w:smallCaps w:val="false"/>
                  <w:sz w:val="20"/>
                </w:rPr>
                <w:t>Power of Attorney (contained on the signature page to this registration statement)</w:t>
              </w:r>
            </w:hyperlink>
          </w:p>
        </w:tc>
      </w:tr>
      <w:tr>
        <w:trPr/>
        <w:tc>
          <w:tcPr>
            <w:tcW w:w="72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filed as an exhibit to a post-effective amendment to this registration statement or as an exhibit to a Report on Form 6-K to be filed under the Exchange Act and incorporated herein by reference.</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Singapore, on September 4, 2026.</w:t>
      </w:r>
    </w:p>
    <w:p>
      <w:pPr>
        <w:pStyle w:val="TextBody"/>
        <w:bidi w:val="0"/>
        <w:spacing w:before="0" w:after="0"/>
        <w:ind w:left="0" w:right="0" w:firstLine="720"/>
        <w:jc w:val="both"/>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590"/>
        <w:gridCol w:w="38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ENIGMATIG LIMITED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caps w:val="false"/>
                <w:smallCaps w:val="false"/>
              </w:rPr>
            </w:pPr>
            <w:r>
              <w:rPr>
                <w:caps w:val="false"/>
                <w:smallCaps w:val="false"/>
              </w:rPr>
              <w:t> </w:t>
            </w:r>
          </w:p>
        </w:tc>
        <w:tc>
          <w:tcPr>
            <w:tcW w:w="3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9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Foo Chee Weng Desmond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Foo Chee Weng Desmond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Chairman and Chief Executive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poa_001"/>
      <w:bookmarkEnd w:id="23"/>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undersigned constitutes and appoints each of Foo Chee Weng Desmond and Teo Mingwen, each acting alone, his or her true and lawful attorneys-in-fact and agents, with full power of substitution and re-substitution, for such person and in his or her name, place and stead, in any and all capacities, to sign this registration statement on Form F-3, or other appropriate form, and all amendments thereto, including post-effective amendments, of ENIGMATIG LIMITED,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that any such attorney-in-fact and agent, or his or her substitute or substitutes,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7965" w:type="dxa"/>
        <w:jc w:val="left"/>
        <w:tblInd w:w="0" w:type="dxa"/>
        <w:tblLayout w:type="fixed"/>
        <w:tblCellMar>
          <w:top w:w="0" w:type="dxa"/>
          <w:left w:w="0" w:type="dxa"/>
          <w:bottom w:w="28" w:type="dxa"/>
          <w:right w:w="0" w:type="dxa"/>
        </w:tblCellMar>
      </w:tblPr>
      <w:tblGrid>
        <w:gridCol w:w="2375"/>
        <w:gridCol w:w="60"/>
        <w:gridCol w:w="3875"/>
        <w:gridCol w:w="60"/>
        <w:gridCol w:w="1595"/>
      </w:tblGrid>
      <w:tr>
        <w:trPr/>
        <w:tc>
          <w:tcPr>
            <w:tcW w:w="23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3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23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Foo Chee Weng Desmond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Chairman and Chief Executive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23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Foo Chee Weng Desmond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executive officer</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September 4, 2026 </w:t>
            </w:r>
          </w:p>
        </w:tc>
      </w:tr>
      <w:tr>
        <w:trPr/>
        <w:tc>
          <w:tcPr>
            <w:tcW w:w="23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23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Teo Mingwen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Chief Financial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23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Teo Mingwen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and accounting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September 4, 2026 </w:t>
            </w:r>
          </w:p>
        </w:tc>
      </w:tr>
      <w:tr>
        <w:trPr/>
        <w:tc>
          <w:tcPr>
            <w:tcW w:w="23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23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Tay Chee Yang</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23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Tay Chee Yang</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September 4, 2026 </w:t>
            </w:r>
          </w:p>
        </w:tc>
      </w:tr>
      <w:tr>
        <w:trPr/>
        <w:tc>
          <w:tcPr>
            <w:tcW w:w="23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23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Ngor Bok Koon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23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Ngor Bok Koon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September 4, 2026 </w:t>
            </w:r>
          </w:p>
        </w:tc>
      </w:tr>
      <w:tr>
        <w:trPr/>
        <w:tc>
          <w:tcPr>
            <w:tcW w:w="23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23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Tan Wee Liang</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23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 Wee Liang</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September 4, 2026 </w:t>
            </w:r>
          </w:p>
        </w:tc>
      </w:tr>
      <w:tr>
        <w:trPr/>
        <w:tc>
          <w:tcPr>
            <w:tcW w:w="23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23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Tian Pey Nee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23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Tian Pey Nee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September 4, 2026 </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OF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the undersigned, the duly authorized representative in the United States of ENIGMATIG LIMITED, has signed this registration statement on September 4, 2026.</w:t>
      </w:r>
    </w:p>
    <w:p>
      <w:pPr>
        <w:pStyle w:val="TextBody"/>
        <w:bidi w:val="0"/>
        <w:spacing w:before="0" w:after="0"/>
        <w:jc w:val="center"/>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75"/>
        <w:gridCol w:w="545"/>
        <w:gridCol w:w="18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1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18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86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Colleen A. De Vries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Colleen A. De Vries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Vice-President</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bookmarkStart w:id="24" w:name="ex5-1.htm"/>
      <w:bookmarkStart w:id="25" w:name="ksex51"/>
      <w:bookmarkEnd w:id="24"/>
      <w:bookmarkEnd w:id="25"/>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left"/>
        <w:rPr>
          <w:caps w:val="false"/>
          <w:smallCaps w:val="false"/>
        </w:rPr>
      </w:pPr>
      <w:r>
        <w:rPr>
          <w:caps w:val="false"/>
          <w:smallCaps w:val="false"/>
        </w:rPr>
        <w:t> </w:t>
      </w:r>
    </w:p>
    <w:tbl>
      <w:tblPr>
        <w:tblW w:w="7400" w:type="dxa"/>
        <w:jc w:val="left"/>
        <w:tblInd w:w="0" w:type="dxa"/>
        <w:tblLayout w:type="fixed"/>
        <w:tblCellMar>
          <w:top w:w="0" w:type="dxa"/>
          <w:left w:w="0" w:type="dxa"/>
          <w:bottom w:w="0" w:type="dxa"/>
          <w:right w:w="0" w:type="dxa"/>
        </w:tblCellMar>
      </w:tblPr>
      <w:tblGrid>
        <w:gridCol w:w="3765"/>
        <w:gridCol w:w="3635"/>
      </w:tblGrid>
      <w:tr>
        <w:trPr/>
        <w:tc>
          <w:tcPr>
            <w:tcW w:w="3765" w:type="dxa"/>
            <w:tcBorders/>
            <w:vAlign w:val="center"/>
          </w:tcPr>
          <w:p>
            <w:pPr>
              <w:pStyle w:val="TableContents"/>
              <w:bidi w:val="0"/>
              <w:spacing w:before="0" w:after="283"/>
              <w:jc w:val="left"/>
              <w:rPr/>
            </w:pPr>
            <w:r>
              <w:rPr/>
              <w:drawing>
                <wp:inline distT="0" distB="0" distL="0" distR="0">
                  <wp:extent cx="2381250" cy="695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4"/>
                          <a:stretch>
                            <a:fillRect/>
                          </a:stretch>
                        </pic:blipFill>
                        <pic:spPr bwMode="auto">
                          <a:xfrm>
                            <a:off x="0" y="0"/>
                            <a:ext cx="2381250" cy="695325"/>
                          </a:xfrm>
                          <a:prstGeom prst="rect">
                            <a:avLst/>
                          </a:prstGeom>
                        </pic:spPr>
                      </pic:pic>
                    </a:graphicData>
                  </a:graphic>
                </wp:inline>
              </w:drawing>
            </w:r>
          </w:p>
        </w:tc>
        <w:tc>
          <w:tcPr>
            <w:tcW w:w="3635"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Harney Westwood &amp; Riegels Singapore LLP</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 Market Street</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#24-04 CapitaGreen</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048946</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+65 6800 9830</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+65 6800 9831</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September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lishi.fong@harneys.com</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+65 6800 9833</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070205-0001-LZF</w:t>
      </w:r>
    </w:p>
    <w:p>
      <w:pPr>
        <w:pStyle w:val="TextBody"/>
        <w:bidi w:val="0"/>
        <w:spacing w:before="0" w:after="0"/>
        <w:jc w:val="righ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ENIGMATIG LIMITED</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Harbour Place</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South Church Street, P.O. Box 10240</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KY1-1002</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 or Madam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ENIGMATIG LIMITED, Company No. 400620 </w:t>
      </w:r>
      <w:r>
        <w:rPr>
          <w:rFonts w:ascii="Times New Roman;Times;Serif" w:hAnsi="Times New Roman;Times;Serif"/>
          <w:b w:val="false"/>
          <w:i w:val="false"/>
          <w:caps w:val="false"/>
          <w:smallCaps w:val="false"/>
          <w:sz w:val="20"/>
        </w:rPr>
        <w:t xml:space="preserve">(the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attorneys-at-law qualified to practise in the Cayman Islands and have acted as Cayman Islands legal advisers to the Company in connection with the Registration Statement (as defined in Schedule 1), to be filed on or about the date of this opinion with the U.S.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xml:space="preserve">) under the U.S.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xml:space="preserve">), relating to the offering, issuance and sale of an aggregate of up to US$100,000,000 of its securities, which may include Class A ordinary shares of par value of US$0.000002 each (the </w:t>
      </w:r>
      <w:r>
        <w:rPr>
          <w:rFonts w:ascii="Times New Roman;Times;Serif" w:hAnsi="Times New Roman;Times;Serif"/>
          <w:b/>
          <w:i/>
          <w:caps w:val="false"/>
          <w:smallCaps w:val="false"/>
          <w:sz w:val="20"/>
        </w:rPr>
        <w:t>Class A Shares</w:t>
      </w:r>
      <w:r>
        <w:rPr>
          <w:rFonts w:ascii="Times New Roman;Times;Serif" w:hAnsi="Times New Roman;Times;Serif"/>
          <w:b w:val="false"/>
          <w:i w:val="false"/>
          <w:caps w:val="false"/>
          <w:smallCaps w:val="false"/>
          <w:sz w:val="20"/>
        </w:rPr>
        <w:t xml:space="preserve">), preferred shares (together with the Class A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xml:space="preserve">), debt securities, warrants, rights or units (the </w:t>
      </w:r>
      <w:r>
        <w:rPr>
          <w:rFonts w:ascii="Times New Roman;Times;Serif" w:hAnsi="Times New Roman;Times;Serif"/>
          <w:b/>
          <w:i/>
          <w:caps w:val="false"/>
          <w:smallCaps w:val="false"/>
          <w:sz w:val="20"/>
        </w:rPr>
        <w:t>New Securities</w:t>
      </w:r>
      <w:r>
        <w:rPr>
          <w:rFonts w:ascii="Times New Roman;Times;Serif" w:hAnsi="Times New Roman;Times;Serif"/>
          <w:b w:val="false"/>
          <w:i w:val="false"/>
          <w:caps w:val="false"/>
          <w:smallCaps w:val="false"/>
          <w:sz w:val="20"/>
        </w:rPr>
        <w:t xml:space="preserve">). In this opinion </w:t>
      </w:r>
      <w:r>
        <w:rPr>
          <w:rFonts w:ascii="Times New Roman;Times;Serif" w:hAnsi="Times New Roman;Times;Serif"/>
          <w:b/>
          <w:i/>
          <w:caps w:val="false"/>
          <w:smallCaps w:val="false"/>
          <w:sz w:val="20"/>
        </w:rPr>
        <w:t xml:space="preserve">Companies Act </w:t>
      </w:r>
      <w:r>
        <w:rPr>
          <w:rFonts w:ascii="Times New Roman;Times;Serif" w:hAnsi="Times New Roman;Times;Serif"/>
          <w:b w:val="false"/>
          <w:i w:val="false"/>
          <w:caps w:val="false"/>
          <w:smallCaps w:val="false"/>
          <w:sz w:val="20"/>
        </w:rPr>
        <w:t>means the Companies Act (2026 Revision) of the Cayman Islands.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furnishing this opinion as Exhibit 5.1 to the Registration Statement. The Company has informed us that the New Securities will be sold or delivered on a delayed or continuous basis from time to time as set forth in the Registration Statement (and any amendments and/or supplement thereto), the prospectus contained therein and any prospectus supplement. We understand that prior to the sale of any New Securities under the Registration Statement, the Company will afford us an opportunity to review the applicable authorisations (the </w:t>
      </w:r>
      <w:r>
        <w:rPr>
          <w:rFonts w:ascii="Times New Roman;Times;Serif" w:hAnsi="Times New Roman;Times;Serif"/>
          <w:b/>
          <w:i/>
          <w:caps w:val="false"/>
          <w:smallCaps w:val="false"/>
          <w:sz w:val="20"/>
        </w:rPr>
        <w:t>Board Authorisations</w:t>
      </w:r>
      <w:r>
        <w:rPr>
          <w:rFonts w:ascii="Times New Roman;Times;Serif" w:hAnsi="Times New Roman;Times;Serif"/>
          <w:b w:val="false"/>
          <w:i w:val="false"/>
          <w:caps w:val="false"/>
          <w:smallCaps w:val="false"/>
          <w:sz w:val="20"/>
        </w:rPr>
        <w:t xml:space="preserve">) by the board of directors of the Company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and, if necessary, amendments to the M&amp;A (as defined in Schedule 1) and operative documents pursuant to which such New Securities are to be sold and will file any applicable amendment and/or supplement to the Registration Statement (which may include as an exhibit thereto an amended opinion) or prospectus supplement as we may reasonably consider necessary or appropriate by reason of the terms of the sale of such New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case, except as otherwise set forth in any applicable amendment and/or supplement to the Registration Statement or prospectus supplement: (i) any Class A Shares will be issued by the Company under and in accordance with the M&amp;A, as amended from time to time; (ii) any preferred shares will be issued by the Company under and in accordance with the M&amp;A, as amended from time to time; (iii) any debt securities will be issued pursuant to one or more indenture for debt security to be entered into between the Company and one or more debt security agents in a form filed as an exhibit to a prospectus supplement to the Registration Statement or incorporated by reference therein, and one or more Board Authorisations; (iv) any warrants will be issued pursuant to one or more warrant agreements to be entered into between the Company and one or more warrant agents in a form filed as an exhibit to a prospectus supplement to the Registration Statement or incorporated by reference therein, and one or more Board Authorisations; (v) any rights will be issued pursuant to one or more rights agreements to be entered into between the Company and one or more rights agents in a form filed as an exhibit to a prospectus supplement to the Registration Statement or incorporated by reference therein, and one or more Board Authorisations; and (vi) any units will be issued pursuant to one or more unit agreements to be entered into by the Company and one or more unit agents in a form filed as an exhibit to a prospectus supplement to the Registration Statement or incorporated by reference therein, and one or more Board Authorisations (together, the </w:t>
      </w:r>
      <w:r>
        <w:rPr>
          <w:rFonts w:ascii="Times New Roman;Times;Serif" w:hAnsi="Times New Roman;Times;Serif"/>
          <w:b/>
          <w:i/>
          <w:caps w:val="false"/>
          <w:smallCaps w:val="false"/>
          <w:sz w:val="20"/>
        </w:rPr>
        <w:t>New Securities Agreements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13"/>
        <w:gridCol w:w="60"/>
        <w:gridCol w:w="3732"/>
      </w:tblGrid>
      <w:tr>
        <w:trPr/>
        <w:tc>
          <w:tcPr>
            <w:tcW w:w="6413"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Jersey legal services are provided through a referral arrangement with Harneys (Jersey) which is</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independently owned and controlled Jersey law firm.</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in Singapore with limited liability (T13LL2450G).</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ENIGMATIG LIMITED - Exhibit 5.1 Opinion (F-3 2026) (3 Sep 2026).docx</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732"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Anguilla | Bermuda | British Virgin Islands</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 Cyprus | Dubai | Hong Kong | Jersey</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London | Luxembourg | Shanghai | Singapore</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harneys.com</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examined the Documents (as defined in Schedule 1). We have not examined any other documents, official or corporate records or external or internal registers and have not undertaken or been instructed to undertake any further enquiry or due diligence in relation to the transaction which is the subject of this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out in Schedule 2 which we have not verified.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upon the foregoing examinations and assumptions and upon such searches as we have conducted and having regard to legal considerations which we deem relevant, and subject to the qualifications set out in Schedule 3, we are of the opinion that under the laws of the Cayman Islands: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Existence and Good Standing.</w:t>
            </w:r>
            <w:r>
              <w:rPr>
                <w:rFonts w:ascii="Times New Roman;Times;Serif" w:hAnsi="Times New Roman;Times;Serif"/>
                <w:b w:val="false"/>
                <w:i w:val="false"/>
                <w:caps w:val="false"/>
                <w:smallCaps w:val="false"/>
                <w:sz w:val="20"/>
              </w:rPr>
              <w:t xml:space="preserve"> The Company is an exempted company duly incorporated with limited liability and is validly existing and in good standing under the laws of the Cayman Islands, with power and authority (corporate and other) to own its properties and conduct its business as described in the Registration Statement. It is a separate legal entity and is subject to suit in its own name.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Valid Issuance of the New Securities.</w:t>
            </w:r>
            <w:r>
              <w:rPr>
                <w:rFonts w:ascii="Times New Roman;Times;Serif" w:hAnsi="Times New Roman;Times;Serif"/>
                <w:b w:val="false"/>
                <w:i w:val="false"/>
                <w:caps w:val="false"/>
                <w:smallCaps w:val="false"/>
                <w:sz w:val="20"/>
              </w:rPr>
              <w:t xml:space="preserve"> When (i) the creation and issue of the applicable New Securities and the final terms of such New Securities have been duly approved and authorised by the appropriate Board Authorisations; (ii) the applicable New Securities Agreement relating to such New Securities has been duly authorised and validly executed and delivered by the Company and the relevant parties thereunder in accordance with all relevant laws; and (iii) the certificates representing such New Securities (if applicable) have been duly executed, countersigned, registered and delivered in accordance with the applicable New Securities Agreement relating to such New Securities and the applicable definitive purchase, underwriting or similar agreement approved by the Board, upon payment of the consideration by the purchasers thereof as contemplated by the Registration Statement (including any amendments and/or supplement thereto) and any prospectus supplements relating thereto, such New Securities will constitute valid and legally binding obligations of the Company, enforceable against the Company in accordance with their terms.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Authorised Share Capital.</w:t>
            </w:r>
            <w:r>
              <w:rPr>
                <w:rFonts w:ascii="Times New Roman;Times;Serif" w:hAnsi="Times New Roman;Times;Serif"/>
                <w:b w:val="false"/>
                <w:i w:val="false"/>
                <w:caps w:val="false"/>
                <w:smallCaps w:val="false"/>
                <w:sz w:val="20"/>
              </w:rPr>
              <w:t xml:space="preserve"> Based on the M&amp;A, the Company has an authorised share capital of US$50,000 divided into 25,000,000,000 ordinary shares of par value of US$0.000002 each, comprising (a) 17,500,000,000 Class A ordinary shares of the Company of par value US$0.000002 each, and (b) 7,500,000,000 Class B ordinary shares of the Company of par value US$0.000002 each.</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Disclosure.</w:t>
            </w:r>
            <w:r>
              <w:rPr>
                <w:rFonts w:ascii="Times New Roman;Times;Serif" w:hAnsi="Times New Roman;Times;Serif"/>
                <w:b w:val="false"/>
                <w:i w:val="false"/>
                <w:caps w:val="false"/>
                <w:smallCaps w:val="false"/>
                <w:sz w:val="20"/>
              </w:rPr>
              <w:t xml:space="preserve"> The statements in the Registration Statement appearing under the headings “Risk Factors”, “Description of Share Capital”, “Description of Preferred Shares”, “Description of Debt Securities”, “Description of Warrants”, “Description of Rights”, “Description of Units” and “Enforceability of Civil Liabilities”, in each case to the extent that they constitute statements of Cayman Islands law, are accurate and complete in all material respects.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confined to the matters expressly opined on herein and given on the basis of the laws of the Cayman Islands as they are in force and applied by the Cayman Islands courts at the date of this opinion. We have made no investigation of, and express no opinion on, the laws of any other jurisdiction. We express no opinion as to matters of fact.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above opinion, we hereby consent to the filing of this opinion as an exhibit to the Registration Statement. In giving such consent, we do not thereby admit that we come within the category of persons whose consent is required under Section 7 of the Securities Act, as amended, or the Rules and Regulations of the Commission thereunder.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matters referred to herein and shall not be construed as extending to any other matter or document not referred to herein.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shall be construed in accordance with the laws of the Cayman Islands.</w:t>
      </w:r>
    </w:p>
    <w:p>
      <w:pPr>
        <w:pStyle w:val="TextBody"/>
        <w:bidi w:val="0"/>
        <w:spacing w:before="0" w:after="0"/>
        <w:jc w:val="both"/>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5280"/>
      </w:tblGrid>
      <w:tr>
        <w:trPr/>
        <w:tc>
          <w:tcPr>
            <w:tcW w:w="5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tc>
      </w:tr>
      <w:tr>
        <w:trPr/>
        <w:tc>
          <w:tcPr>
            <w:tcW w:w="5280"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3333750" cy="523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5"/>
                          <a:stretch>
                            <a:fillRect/>
                          </a:stretch>
                        </pic:blipFill>
                        <pic:spPr bwMode="auto">
                          <a:xfrm>
                            <a:off x="0" y="0"/>
                            <a:ext cx="3333750" cy="523875"/>
                          </a:xfrm>
                          <a:prstGeom prst="rect">
                            <a:avLst/>
                          </a:prstGeom>
                        </pic:spPr>
                      </pic:pic>
                    </a:graphicData>
                  </a:graphic>
                </wp:inline>
              </w:drawing>
            </w:r>
          </w:p>
        </w:tc>
      </w:tr>
      <w:tr>
        <w:trPr/>
        <w:tc>
          <w:tcPr>
            <w:tcW w:w="52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Harney Westwood &amp; Riegels Singapore LLP</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Schedule 1</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Documents Examined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certificate of incorporation of the Company dated 30 May 2023 and a copy of the certificate of incorporation on change of name of the Company dated 29 April 2024.</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copy of the amended and restated memorandum and articles of association of the Company adopted by a special resolution dated 6 April 2025 (the </w:t>
            </w:r>
            <w:r>
              <w:rPr>
                <w:rFonts w:ascii="Times New Roman;Times;Serif" w:hAnsi="Times New Roman;Times;Serif"/>
                <w:b/>
                <w:i/>
                <w:caps w:val="false"/>
                <w:smallCaps w:val="false"/>
                <w:sz w:val="20"/>
              </w:rPr>
              <w:t>M&amp;A</w:t>
            </w: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copy of the certificate of good standing in respect of the Company issued by the Registrar of Companies dated 27 August 2026 (the </w:t>
            </w:r>
            <w:r>
              <w:rPr>
                <w:rFonts w:ascii="Times New Roman;Times;Serif" w:hAnsi="Times New Roman;Times;Serif"/>
                <w:b/>
                <w:i/>
                <w:caps w:val="false"/>
                <w:smallCaps w:val="false"/>
                <w:sz w:val="20"/>
              </w:rPr>
              <w:t>Certificate of Good Standing</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Register of Writs and other Originating Process of the Grand Court of the Cayman Islands (the </w:t>
            </w:r>
            <w:r>
              <w:rPr>
                <w:rFonts w:ascii="Times New Roman;Times;Serif" w:hAnsi="Times New Roman;Times;Serif"/>
                <w:b/>
                <w:i/>
                <w:caps w:val="false"/>
                <w:smallCaps w:val="false"/>
                <w:sz w:val="20"/>
              </w:rPr>
              <w:t>Court Register</w:t>
            </w:r>
            <w:r>
              <w:rPr>
                <w:rFonts w:ascii="Times New Roman;Times;Serif" w:hAnsi="Times New Roman;Times;Serif"/>
                <w:b w:val="false"/>
                <w:i w:val="false"/>
                <w:caps w:val="false"/>
                <w:smallCaps w:val="false"/>
                <w:sz w:val="20"/>
              </w:rPr>
              <w:t xml:space="preserve">) via the Court’s Digital System (as defined in Schedule 3) from the incorporation date of the Company to 3 September 2026 (the </w:t>
            </w:r>
            <w:r>
              <w:rPr>
                <w:rFonts w:ascii="Times New Roman;Times;Serif" w:hAnsi="Times New Roman;Times;Serif"/>
                <w:b/>
                <w:i/>
                <w:caps w:val="false"/>
                <w:smallCaps w:val="false"/>
                <w:sz w:val="20"/>
              </w:rPr>
              <w:t>Court Search Date</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register of directors and officers of the Company filed with the Registrar of Companies in the Cayman Islands on 19 June 2025.</w:t>
            </w:r>
          </w:p>
        </w:tc>
      </w:tr>
    </w:tbl>
    <w:p>
      <w:pPr>
        <w:pStyle w:val="TextBody"/>
        <w:bidi w:val="0"/>
        <w:spacing w:before="0" w:after="0"/>
        <w:ind w:left="720" w:right="0" w:hanging="72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140"/>
        <w:gridCol w:w="879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copy of the written resolutions of the directors of the Company dated 2 September 2026 (the </w:t>
            </w:r>
            <w:r>
              <w:rPr>
                <w:rFonts w:ascii="Times New Roman;Times;Serif" w:hAnsi="Times New Roman;Times;Serif"/>
                <w:b/>
                <w:i/>
                <w:caps w:val="false"/>
                <w:smallCaps w:val="false"/>
                <w:sz w:val="20"/>
              </w:rPr>
              <w:t>Resolutions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140"/>
        <w:gridCol w:w="884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copy of the certificate from a director of the Company dated 1 September 2026 (the </w:t>
            </w:r>
            <w:r>
              <w:rPr>
                <w:rFonts w:ascii="Times New Roman;Times;Serif" w:hAnsi="Times New Roman;Times;Serif"/>
                <w:b/>
                <w:i/>
                <w:caps w:val="false"/>
                <w:smallCaps w:val="false"/>
                <w:sz w:val="20"/>
              </w:rPr>
              <w:t>Director’s Certificate</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copy of the registration statement on Form F-3 (including all amendments or supplements thereto, and the accompanying prospectus)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which term does not include any other document or agreement whether or not specifically referred to therein or attached as an exhibit or schedule thereto).</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to 7 above are the </w:t>
      </w:r>
      <w:r>
        <w:rPr>
          <w:rFonts w:ascii="Times New Roman;Times;Serif" w:hAnsi="Times New Roman;Times;Serif"/>
          <w:b/>
          <w:i/>
          <w:caps w:val="false"/>
          <w:smallCaps w:val="false"/>
          <w:sz w:val="20"/>
        </w:rPr>
        <w:t>Corporate Documents</w:t>
      </w:r>
      <w:r>
        <w:rPr>
          <w:rFonts w:ascii="Times New Roman;Times;Serif" w:hAnsi="Times New Roman;Times;Serif"/>
          <w:b w:val="false"/>
          <w:i w:val="false"/>
          <w:caps w:val="false"/>
          <w:smallCaps w:val="false"/>
          <w:sz w:val="20"/>
        </w:rPr>
        <w:t xml:space="preserve">. The Corporate Documents and the Registration Statement are collectively referred to in this opinion as the </w:t>
      </w:r>
      <w:r>
        <w:rPr>
          <w:rFonts w:ascii="Times New Roman;Times;Serif" w:hAnsi="Times New Roman;Times;Serif"/>
          <w:b/>
          <w:i/>
          <w:caps w:val="false"/>
          <w:smallCaps w:val="false"/>
          <w:sz w:val="20"/>
        </w:rPr>
        <w:t>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2</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Validity under Foreign Laws.</w:t>
            </w:r>
            <w:r>
              <w:rPr>
                <w:rFonts w:ascii="Times New Roman;Times;Serif" w:hAnsi="Times New Roman;Times;Serif"/>
                <w:b w:val="false"/>
                <w:i w:val="false"/>
                <w:caps w:val="false"/>
                <w:smallCaps w:val="false"/>
                <w:sz w:val="20"/>
              </w:rPr>
              <w:t xml:space="preserve"> That (i) all formalities required under any applicable laws (other than the laws of the Cayman Islands) have been complied with; and (ii) no other matters arising under any foreign law will affect the views expressed in this opinion.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xml:space="preserve"> The board of directors of the Company considers the transactions contemplated by the Registration Statement to be in the best interests of the Company and no director has a financial interest in or other relationship to a party to the transactions contemplated by the Registration Statement which has not been properly disclosed in the Resolutions.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Authenticity of Documents.</w:t>
            </w:r>
            <w:r>
              <w:rPr>
                <w:rFonts w:ascii="Times New Roman;Times;Serif" w:hAnsi="Times New Roman;Times;Serif"/>
                <w:b w:val="false"/>
                <w:i w:val="false"/>
                <w:caps w:val="false"/>
                <w:smallCaps w:val="false"/>
                <w:sz w:val="20"/>
              </w:rPr>
              <w:t xml:space="preserve"> All original Documents are authentic, all signatures, initials and seals are genuine, all copies of Documents are true and correct copies and the Registration Statement conforms in every material respect to the latest draft of the same produced to us and, where the Registration Statement has been provided to us in successive drafts marked-up to indicate changes to such documents, all such changes have been so indicated.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Corporate Documents.</w:t>
            </w:r>
            <w:r>
              <w:rPr>
                <w:rFonts w:ascii="Times New Roman;Times;Serif" w:hAnsi="Times New Roman;Times;Serif"/>
                <w:b w:val="false"/>
                <w:i w:val="false"/>
                <w:caps w:val="false"/>
                <w:smallCaps w:val="false"/>
                <w:sz w:val="20"/>
              </w:rPr>
              <w:t xml:space="preserve"> All matters required by law to be recorded in the Corporate Documents are so recorded, and all corporate minutes, resolutions, certificates, documents and records which we have reviewed are accurate and complete, and all facts expressed in or implied thereby are accurate and complete.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Director’s Certificate</w:t>
            </w:r>
            <w:r>
              <w:rPr>
                <w:rFonts w:ascii="Times New Roman;Times;Serif" w:hAnsi="Times New Roman;Times;Serif"/>
                <w:b w:val="false"/>
                <w:i w:val="false"/>
                <w:caps w:val="false"/>
                <w:smallCaps w:val="false"/>
                <w:sz w:val="20"/>
              </w:rPr>
              <w:t>. The contents of the Director’s Certificate are true and accurate as at the date of this opinion and there is no information not contained in the Director’s Certificate that will in any way affect this opinion.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Court Search.</w:t>
            </w:r>
            <w:r>
              <w:rPr>
                <w:rFonts w:ascii="Times New Roman;Times;Serif" w:hAnsi="Times New Roman;Times;Serif"/>
                <w:b w:val="false"/>
                <w:i w:val="false"/>
                <w:caps w:val="false"/>
                <w:smallCaps w:val="false"/>
                <w:sz w:val="20"/>
              </w:rPr>
              <w:t xml:space="preserve"> The Register of Writs and other Originating Process of the Grand Court of the Cayman Islands examined by us for the period from the date of incorporation of the Company to the Court Search Date via the Court’s Digital System on the Court Search Date, constitutes a complete record of the proceedings for such period before the Grand Court of the Cayman Islands.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Resolutions</w:t>
            </w:r>
            <w:r>
              <w:rPr>
                <w:rFonts w:ascii="Times New Roman;Times;Serif" w:hAnsi="Times New Roman;Times;Serif"/>
                <w:b w:val="false"/>
                <w:i w:val="false"/>
                <w:caps w:val="false"/>
                <w:smallCaps w:val="false"/>
                <w:sz w:val="20"/>
              </w:rPr>
              <w:t>. The written Resolutions have been duly executed (and where by a corporate entity such execution has been duly authorised if so required) by or on behalf of each director or shareholder (as the case may be), and the signatures and initials thereon are those of a person or persons in whose name the Resolutions have been expressed to be signed. The Resolutions passed at a meeting were adopted at duly convened meetings of the board of directors and/or the shareholders of the Company, and such meetings were held and conducted in accordance with the Memorandum and Articles of Association of the Company. The Resolutions remain in full force and effect.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Unseen Documents.</w:t>
            </w:r>
            <w:r>
              <w:rPr>
                <w:rFonts w:ascii="Times New Roman;Times;Serif" w:hAnsi="Times New Roman;Times;Serif"/>
                <w:b w:val="false"/>
                <w:i w:val="false"/>
                <w:caps w:val="false"/>
                <w:smallCaps w:val="false"/>
                <w:sz w:val="20"/>
              </w:rPr>
              <w:t xml:space="preserve"> Save for the Documents provided to us there are no resolutions, agreements, documents or arrangements which materially affect, amend or vary the transactions envisaged in the Registration Statement. There is no contractual prohibition (other than as arising under Cayman Islands law) binding on the Company prohibiting it from issuing and allotting the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Proceeds of Crime.</w:t>
            </w:r>
            <w:r>
              <w:rPr>
                <w:rFonts w:ascii="Times New Roman;Times;Serif" w:hAnsi="Times New Roman;Times;Serif"/>
                <w:b w:val="false"/>
                <w:i w:val="false"/>
                <w:caps w:val="false"/>
                <w:smallCaps w:val="false"/>
                <w:sz w:val="20"/>
              </w:rPr>
              <w:t xml:space="preserve"> No monies paid to or for the account of any party under the Registration Statement represent or will represent criminal property or terrorist property (as defined in the Proceeds of Crime Act (2025 Revision) and the Terrorism Act (2018 Revision), respectively.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Exercise.</w:t>
            </w:r>
            <w:r>
              <w:rPr>
                <w:rFonts w:ascii="Times New Roman;Times;Serif" w:hAnsi="Times New Roman;Times;Serif"/>
                <w:b w:val="false"/>
                <w:i w:val="false"/>
                <w:caps w:val="false"/>
                <w:smallCaps w:val="false"/>
                <w:sz w:val="20"/>
              </w:rPr>
              <w:t xml:space="preserve"> At the time of the exercise of the relevant New Securities Agreements in accordance with the M&amp;A (the </w:t>
            </w:r>
            <w:r>
              <w:rPr>
                <w:rFonts w:ascii="Times New Roman;Times;Serif" w:hAnsi="Times New Roman;Times;Serif"/>
                <w:b/>
                <w:i/>
                <w:caps w:val="false"/>
                <w:smallCaps w:val="false"/>
                <w:sz w:val="20"/>
              </w:rPr>
              <w:t>Exercise</w:t>
            </w: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will not have changed in such a way as to materially impact the Exercise; and</w:t>
            </w:r>
          </w:p>
        </w:tc>
      </w:tr>
    </w:tbl>
    <w:p>
      <w:pPr>
        <w:pStyle w:val="TextBody"/>
        <w:bidi w:val="0"/>
        <w:spacing w:before="0" w:after="0"/>
        <w:ind w:left="1418" w:right="0" w:hanging="0"/>
        <w:jc w:val="both"/>
        <w:rPr>
          <w:caps w:val="false"/>
          <w:smallCaps w:val="false"/>
        </w:rPr>
      </w:pPr>
      <w:r>
        <w:rPr>
          <w:caps w:val="false"/>
          <w:smallCaps w:val="false"/>
        </w:rPr>
        <w:t> </w:t>
      </w:r>
    </w:p>
    <w:tbl>
      <w:tblPr>
        <w:tblW w:w="9003" w:type="dxa"/>
        <w:jc w:val="left"/>
        <w:tblInd w:w="0" w:type="dxa"/>
        <w:tblLayout w:type="fixed"/>
        <w:tblCellMar>
          <w:top w:w="0" w:type="dxa"/>
          <w:left w:w="0" w:type="dxa"/>
          <w:bottom w:w="0" w:type="dxa"/>
          <w:right w:w="0" w:type="dxa"/>
        </w:tblCellMar>
      </w:tblPr>
      <w:tblGrid>
        <w:gridCol w:w="38"/>
        <w:gridCol w:w="245"/>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preconditions to the exercise of the relevant New Securities Agreements will be satisfied or duly waived.</w:t>
            </w:r>
          </w:p>
        </w:tc>
      </w:tr>
    </w:tbl>
    <w:p>
      <w:pPr>
        <w:pStyle w:val="TextBody"/>
        <w:bidi w:val="0"/>
        <w:spacing w:before="0" w:after="0"/>
        <w:ind w:left="1418"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3</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Qualifications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Enforceability</w:t>
            </w:r>
            <w:r>
              <w:rPr>
                <w:rFonts w:ascii="Times New Roman;Times;Serif" w:hAnsi="Times New Roman;Times;Serif"/>
                <w:b w:val="false"/>
                <w:i w:val="false"/>
                <w:caps w:val="false"/>
                <w:smallCaps w:val="false"/>
                <w:sz w:val="20"/>
              </w:rPr>
              <w:t xml:space="preserve">. The term </w:t>
            </w:r>
            <w:r>
              <w:rPr>
                <w:rFonts w:ascii="Times New Roman;Times;Serif" w:hAnsi="Times New Roman;Times;Serif"/>
                <w:b/>
                <w:i/>
                <w:caps w:val="false"/>
                <w:smallCaps w:val="false"/>
                <w:sz w:val="20"/>
              </w:rPr>
              <w:t>enforceable</w:t>
            </w:r>
            <w:r>
              <w:rPr>
                <w:rFonts w:ascii="Times New Roman;Times;Serif" w:hAnsi="Times New Roman;Times;Serif"/>
                <w:b w:val="false"/>
                <w:i w:val="false"/>
                <w:caps w:val="false"/>
                <w:smallCaps w:val="false"/>
                <w:sz w:val="20"/>
              </w:rPr>
              <w:t xml:space="preserve"> as used above means that the obligations assumed by the Company under the relevant instrument are of a type which the courts of the Cayman Islands enforce. It does not mean that those obligations will necessarily be enforced in all circumstances in accordance with their terms. In particular: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Insolvency. </w:t>
            </w:r>
            <w:r>
              <w:rPr>
                <w:rFonts w:ascii="Times New Roman;Times;Serif" w:hAnsi="Times New Roman;Times;Serif"/>
                <w:b w:val="false"/>
                <w:i w:val="false"/>
                <w:caps w:val="false"/>
                <w:smallCaps w:val="false"/>
                <w:sz w:val="20"/>
              </w:rPr>
              <w:t>Rights and obligations may be limited by bankruptcy, insolvency, liquidation, winding-up, reorganisation, moratorium, readjustment of debts, arrangements and other similar laws of general application affecting the rights of creditors;</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Limitation Periods.</w:t>
            </w:r>
            <w:r>
              <w:rPr>
                <w:rFonts w:ascii="Times New Roman;Times;Serif" w:hAnsi="Times New Roman;Times;Serif"/>
                <w:b w:val="false"/>
                <w:i w:val="false"/>
                <w:caps w:val="false"/>
                <w:smallCaps w:val="false"/>
                <w:sz w:val="20"/>
              </w:rPr>
              <w:t xml:space="preserve"> Claims under the New Securities Agreements may become barred under the Limitation Act (1996 Revision) relating to the limitation of actions in the Cayman Islands or may be or become subject to defences of set-off, estoppel or counterclaim;</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Equitable Rights and Remedies</w:t>
            </w:r>
            <w:r>
              <w:rPr>
                <w:rFonts w:ascii="Times New Roman;Times;Serif" w:hAnsi="Times New Roman;Times;Serif"/>
                <w:b w:val="false"/>
                <w:i w:val="false"/>
                <w:caps w:val="false"/>
                <w:smallCaps w:val="false"/>
                <w:sz w:val="20"/>
              </w:rPr>
              <w:t xml:space="preserve">. Equitable rights may be defeated by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purchaser for value without notice. Equitable remedies such as injunctions and orders for specific performance are discretionary and will not normally be available where damages are considered an adequate remedy;</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Fair Dealing.</w:t>
            </w:r>
            <w:r>
              <w:rPr>
                <w:rFonts w:ascii="Times New Roman;Times;Serif" w:hAnsi="Times New Roman;Times;Serif"/>
                <w:b w:val="false"/>
                <w:i w:val="false"/>
                <w:caps w:val="false"/>
                <w:smallCaps w:val="false"/>
                <w:sz w:val="20"/>
              </w:rPr>
              <w:t xml:space="preserve"> Strict legal rights may be qualified by doctrines of good faith and fair dealing - for example a certificate or calculation as to any matter might be held by a Cayman Islands court not to be conclusive if it could be shown to have an unreasonable or arbitrary basis, or in the event of manifest error;</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Prevention of Enforcement.</w:t>
            </w:r>
            <w:r>
              <w:rPr>
                <w:rFonts w:ascii="Times New Roman;Times;Serif" w:hAnsi="Times New Roman;Times;Serif"/>
                <w:b w:val="false"/>
                <w:i w:val="false"/>
                <w:caps w:val="false"/>
                <w:smallCaps w:val="false"/>
                <w:sz w:val="20"/>
              </w:rPr>
              <w:t xml:space="preserve"> Enforcement may be prevented by reason of fraud, coercion, duress, undue influence, unreasonable restraint of trade, misrepresentation, public policy or mistake or limited by the doctrine of frustration of contracts;</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Penal Provisions</w:t>
            </w:r>
            <w:r>
              <w:rPr>
                <w:rFonts w:ascii="Times New Roman;Times;Serif" w:hAnsi="Times New Roman;Times;Serif"/>
                <w:b w:val="false"/>
                <w:i w:val="false"/>
                <w:caps w:val="false"/>
                <w:smallCaps w:val="false"/>
                <w:sz w:val="20"/>
              </w:rPr>
              <w:t>. Provisions, for example, for the payment of additional interest in certain circumstances, may be unenforceable to the extent a court of the Cayman Islands determines such provisions to be penal;</w:t>
            </w:r>
          </w:p>
        </w:tc>
      </w:tr>
    </w:tbl>
    <w:p>
      <w:pPr>
        <w:pStyle w:val="TextBody"/>
        <w:bidi w:val="0"/>
        <w:spacing w:before="0" w:after="0"/>
        <w:ind w:left="1418" w:right="0" w:hanging="0"/>
        <w:jc w:val="both"/>
        <w:rPr>
          <w:caps w:val="false"/>
          <w:smallCaps w:val="false"/>
        </w:rPr>
      </w:pPr>
      <w:r>
        <w:rPr>
          <w:caps w:val="false"/>
          <w:smallCaps w:val="false"/>
        </w:rPr>
        <w:t> </w:t>
      </w:r>
    </w:p>
    <w:tbl>
      <w:tblPr>
        <w:tblW w:w="9318" w:type="dxa"/>
        <w:jc w:val="left"/>
        <w:tblInd w:w="0" w:type="dxa"/>
        <w:tblLayout w:type="fixed"/>
        <w:tblCellMar>
          <w:top w:w="0" w:type="dxa"/>
          <w:left w:w="0" w:type="dxa"/>
          <w:bottom w:w="0" w:type="dxa"/>
          <w:right w:w="0" w:type="dxa"/>
        </w:tblCellMar>
      </w:tblPr>
      <w:tblGrid>
        <w:gridCol w:w="38"/>
        <w:gridCol w:w="245"/>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Currency.</w:t>
            </w:r>
            <w:r>
              <w:rPr>
                <w:rFonts w:ascii="Times New Roman;Times;Serif" w:hAnsi="Times New Roman;Times;Serif"/>
                <w:b w:val="false"/>
                <w:i w:val="false"/>
                <w:caps w:val="false"/>
                <w:smallCaps w:val="false"/>
                <w:sz w:val="20"/>
              </w:rPr>
              <w:t xml:space="preserve"> A Cayman Islands court retains a discretion to denominate any judgment in Cayman Islands dollars;</w:t>
            </w:r>
          </w:p>
        </w:tc>
      </w:tr>
    </w:tbl>
    <w:p>
      <w:pPr>
        <w:pStyle w:val="TextBody"/>
        <w:bidi w:val="0"/>
        <w:spacing w:before="0" w:after="0"/>
        <w:ind w:left="1418" w:right="0" w:hanging="0"/>
        <w:jc w:val="both"/>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38"/>
        <w:gridCol w:w="245"/>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Confidentiality</w:t>
            </w:r>
            <w:r>
              <w:rPr>
                <w:rFonts w:ascii="Times New Roman;Times;Serif" w:hAnsi="Times New Roman;Times;Serif"/>
                <w:b w:val="false"/>
                <w:i w:val="false"/>
                <w:caps w:val="false"/>
                <w:smallCaps w:val="false"/>
                <w:sz w:val="20"/>
              </w:rPr>
              <w:t>. Provisions imposing confidentiality obligations may be overridden by the requirements of legal process;</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Award of Costs</w:t>
            </w:r>
            <w:r>
              <w:rPr>
                <w:rFonts w:ascii="Times New Roman;Times;Serif" w:hAnsi="Times New Roman;Times;Serif"/>
                <w:b w:val="false"/>
                <w:i w:val="false"/>
                <w:caps w:val="false"/>
                <w:smallCaps w:val="false"/>
                <w:sz w:val="20"/>
              </w:rPr>
              <w:t>. In principle the courts of the Cayman Islands will award costs and disbursements in litigation in accordance with the relevant contractual provisions but there remains some uncertainty as to the way in which the rules of the Grand Court will be applied in practice. Whilst it is clear that costs incurred prior to judgment can be recovered in accordance with the relevant contract, it is likely that post-judgment costs (to the extent recoverable at all) will be subject to taxation in accordance with Grand Court Rules Order 62; and</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Inappropriate Forum.</w:t>
            </w:r>
            <w:r>
              <w:rPr>
                <w:rFonts w:ascii="Times New Roman;Times;Serif" w:hAnsi="Times New Roman;Times;Serif"/>
                <w:b w:val="false"/>
                <w:i w:val="false"/>
                <w:caps w:val="false"/>
                <w:smallCaps w:val="false"/>
                <w:sz w:val="20"/>
              </w:rPr>
              <w:t xml:space="preserve"> The courts of the Cayman Islands may decline to exercise jurisdiction in relation to substantive proceedings brought under or in relation to the New Securities Agreements in matters where they determine that (i) such proceedings may be tried in a more appropriate forum; (ii) proceedings are already underway in a different forum; or (iii) the issues have already been finally determined by another forum.</w:t>
            </w:r>
          </w:p>
        </w:tc>
      </w:tr>
    </w:tbl>
    <w:p>
      <w:pPr>
        <w:pStyle w:val="TextBody"/>
        <w:bidi w:val="0"/>
        <w:spacing w:before="0" w:after="0"/>
        <w:ind w:left="1418"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Foreign Statutes.</w:t>
            </w:r>
            <w:r>
              <w:rPr>
                <w:rFonts w:ascii="Times New Roman;Times;Serif" w:hAnsi="Times New Roman;Times;Serif"/>
                <w:b w:val="false"/>
                <w:i w:val="false"/>
                <w:caps w:val="false"/>
                <w:smallCaps w:val="false"/>
                <w:sz w:val="20"/>
              </w:rPr>
              <w:t xml:space="preserve"> We express no opinion in relation to provisions making reference to foreign statutes in the Registration Statement.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Commercial Terms.</w:t>
            </w:r>
            <w:r>
              <w:rPr>
                <w:rFonts w:ascii="Times New Roman;Times;Serif" w:hAnsi="Times New Roman;Times;Serif"/>
                <w:b w:val="false"/>
                <w:i w:val="false"/>
                <w:caps w:val="false"/>
                <w:smallCaps w:val="false"/>
                <w:sz w:val="20"/>
              </w:rPr>
              <w:t xml:space="preserve"> 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the subject of this opinion.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Meaning of Non-Assessable.</w:t>
            </w:r>
            <w:r>
              <w:rPr>
                <w:rFonts w:ascii="Times New Roman;Times;Serif" w:hAnsi="Times New Roman;Times;Serif"/>
                <w:b w:val="false"/>
                <w:i w:val="false"/>
                <w:caps w:val="false"/>
                <w:smallCaps w:val="false"/>
                <w:sz w:val="20"/>
              </w:rPr>
              <w:t xml:space="preserve"> In this opinion the phrase non-assessable means, with respect to the issuance of shares, that a shareholder shall not, in respect of the relevant shares, have any obligation to make further contributions to the assets of the relevant company (except in exceptional circumstances, such as involving fraud, the establishment of an agency relationship or an illegal or improper purpose or other circumstances in which a court may be prepared to pierce or lift the corporate veil).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xml:space="preserve"> A Cayman Islands court would not treat as definitive a statement in a contract that it could only be amended or waived in writing, but would be able to consider all the facts of the case (particularly where consideration had passed) to determine whether a verbal amendment or waiver had been effected and, if it found that it had, such verbal amendment or waiver would be deemed to have also amended the stated requirement for a written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Good Standing.</w:t>
            </w:r>
            <w:r>
              <w:rPr>
                <w:rFonts w:ascii="Times New Roman;Times;Serif" w:hAnsi="Times New Roman;Times;Serif"/>
                <w:b w:val="false"/>
                <w:i w:val="false"/>
                <w:caps w:val="false"/>
                <w:smallCaps w:val="false"/>
                <w:sz w:val="20"/>
              </w:rPr>
              <w:t xml:space="preserve"> The Company shall be deemed to be in good standing at any time if all fees (including annual filing fees) and penalties under the Companies Act have been paid and the Registrar of Companies has no knowledge that the Company is in default under the Companies 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Court Search</w:t>
            </w:r>
            <w:r>
              <w:rPr>
                <w:rFonts w:ascii="Times New Roman;Times;Serif" w:hAnsi="Times New Roman;Times;Serif"/>
                <w:b w:val="false"/>
                <w:i w:val="false"/>
                <w:caps w:val="false"/>
                <w:smallCaps w:val="false"/>
                <w:sz w:val="20"/>
              </w:rPr>
              <w:t xml:space="preserve">. The search of the Register of Writs and other Originating Process of the Grand Court of the Cayman Islands has been undertaken on a digital system made available through the Grand Court of the Cayman Islands (the </w:t>
            </w:r>
            <w:r>
              <w:rPr>
                <w:rFonts w:ascii="Times New Roman;Times;Serif" w:hAnsi="Times New Roman;Times;Serif"/>
                <w:b/>
                <w:i/>
                <w:caps w:val="false"/>
                <w:smallCaps w:val="false"/>
                <w:sz w:val="20"/>
              </w:rPr>
              <w:t>Court’s Digital System</w:t>
            </w:r>
            <w:r>
              <w:rPr>
                <w:rFonts w:ascii="Times New Roman;Times;Serif" w:hAnsi="Times New Roman;Times;Serif"/>
                <w:b w:val="false"/>
                <w:i w:val="false"/>
                <w:caps w:val="false"/>
                <w:smallCaps w:val="false"/>
                <w:sz w:val="20"/>
              </w:rPr>
              <w:t>), and through inadvertent errors or delays in updating the digital system (and/or the Register from which the digital information is drawn) may not constitute a complete record of all proceedings as at the Court Search Date and in particular may omit details of very recent filings. The Court Search of the Court Register would not reveal, amongst other things, any writ, originating summons, originating motion, petition (including any winding-up petition), counterclaim or third party notice (</w:t>
            </w:r>
            <w:r>
              <w:rPr>
                <w:rFonts w:ascii="Times New Roman;Times;Serif" w:hAnsi="Times New Roman;Times;Serif"/>
                <w:b/>
                <w:i/>
                <w:caps w:val="false"/>
                <w:smallCaps w:val="false"/>
                <w:sz w:val="20"/>
              </w:rPr>
              <w:t>Originating Process</w:t>
            </w:r>
            <w:r>
              <w:rPr>
                <w:rFonts w:ascii="Times New Roman;Times;Serif" w:hAnsi="Times New Roman;Times;Serif"/>
                <w:b w:val="false"/>
                <w:i w:val="false"/>
                <w:caps w:val="false"/>
                <w:smallCaps w:val="false"/>
                <w:sz w:val="20"/>
              </w:rPr>
              <w:t>) filed with the Grand Court of the Cayman Islands which, pursuant to the rules of the Grand Court of the Cayman Islands or best practice of the Clerk of the Courts’ office, should have been entered in the Court Register but was not in fact entered in the Court Register (properly or at all), or any Originating Process which has been placed under seal or anonymised (whether by order of the Court or pursuant to the practice of the Clerk of the Courts’ office).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Conflict of Laws.</w:t>
            </w:r>
            <w:r>
              <w:rPr>
                <w:rFonts w:ascii="Times New Roman;Times;Serif" w:hAnsi="Times New Roman;Times;Serif"/>
                <w:b w:val="false"/>
                <w:i w:val="false"/>
                <w:caps w:val="false"/>
                <w:smallCaps w:val="false"/>
                <w:sz w:val="20"/>
              </w:rPr>
              <w:t xml:space="preserve"> An expression of an opinion on a matter of Cayman Islands law in relation to a particular issue in this opinion should not necessarily be construed to imply that the Cayman Islands courts would treat Cayman Islands law as the proper law to determine that issue under its conflict of laws rules.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The obligations of the Company may be subject to restrictions pursuant to United Nations and United Kingdom sanctions as implemented under the laws of the Cayman Islands.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Economic Substance</w:t>
            </w:r>
            <w:r>
              <w:rPr>
                <w:rFonts w:ascii="Times New Roman;Times;Serif" w:hAnsi="Times New Roman;Times;Serif"/>
                <w:b w:val="false"/>
                <w:i w:val="false"/>
                <w:caps w:val="false"/>
                <w:smallCaps w:val="false"/>
                <w:sz w:val="20"/>
              </w:rPr>
              <w:t>. We have undertaken no enquiry and express no view as to the compliance of the Company with the International Tax Co-operation (Economic Substance) Act (2026 Revision).</w:t>
            </w:r>
          </w:p>
        </w:tc>
      </w:tr>
    </w:tbl>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26" w:name="ex23-2.htm"/>
      <w:bookmarkStart w:id="27" w:name="ksex232"/>
      <w:bookmarkEnd w:id="26"/>
      <w:bookmarkEnd w:id="27"/>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315200" cy="89598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6"/>
                    <a:stretch>
                      <a:fillRect/>
                    </a:stretch>
                  </pic:blipFill>
                  <pic:spPr bwMode="auto">
                    <a:xfrm>
                      <a:off x="0" y="0"/>
                      <a:ext cx="7315200" cy="89598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Enigmatig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of our report in this Form F-3 of Enigmatig Limited (the “Company”), to be filed on or about August 31, 2026, of our report dated February 17, 2026, with respect to our audit of the Company’s consolidated financial statements as of September 30, 2025, and 2024 and for the years then 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consent to the reference to our firm under the heading “Experts”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209800" cy="381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7"/>
                    <a:stretch>
                      <a:fillRect/>
                    </a:stretch>
                  </pic:blipFill>
                  <pic:spPr bwMode="auto">
                    <a:xfrm>
                      <a:off x="0" y="0"/>
                      <a:ext cx="2209800" cy="3810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Rowland Heights, California</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31, 2026</w:t>
      </w:r>
    </w:p>
    <w:p>
      <w:pPr>
        <w:pStyle w:val="TextBody"/>
        <w:bidi w:val="0"/>
        <w:spacing w:before="0" w:after="0"/>
        <w:ind w:left="0" w:right="0" w:hanging="1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8" w:name="ex107.htm"/>
      <w:bookmarkStart w:id="29" w:name="ksex107"/>
      <w:bookmarkStart w:id="30" w:name="ex107.htm"/>
      <w:bookmarkStart w:id="31" w:name="ksex107"/>
      <w:bookmarkEnd w:id="30"/>
      <w:bookmarkEnd w:id="31"/>
      <w:r>
        <w:br w:type="page"/>
      </w:r>
    </w:p>
    <w:tbl>
      <w:tblPr>
        <w:tblW w:w="3569" w:type="dxa"/>
        <w:jc w:val="left"/>
        <w:tblInd w:w="0" w:type="dxa"/>
        <w:tblLayout w:type="fixed"/>
        <w:tblCellMar>
          <w:top w:w="28" w:type="dxa"/>
          <w:left w:w="28" w:type="dxa"/>
          <w:bottom w:w="28" w:type="dxa"/>
          <w:right w:w="28" w:type="dxa"/>
        </w:tblCellMar>
      </w:tblPr>
      <w:tblGrid>
        <w:gridCol w:w="3415"/>
        <w:gridCol w:w="154"/>
      </w:tblGrid>
      <w:tr>
        <w:trPr/>
        <w:tc>
          <w:tcPr>
            <w:tcW w:w="356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5" w:type="dxa"/>
            <w:tcBorders/>
            <w:vAlign w:val="center"/>
          </w:tcPr>
          <w:p>
            <w:pPr>
              <w:pStyle w:val="TableContents"/>
              <w:bidi w:val="0"/>
              <w:spacing w:before="0" w:after="283"/>
              <w:jc w:val="left"/>
              <w:rPr>
                <w:b/>
              </w:rPr>
            </w:pPr>
            <w:r>
              <w:rPr>
                <w:b/>
              </w:rPr>
              <w:t xml:space="preserve">F-3 </w:t>
            </w:r>
          </w:p>
        </w:tc>
        <w:tc>
          <w:tcPr>
            <w:tcW w:w="154" w:type="dxa"/>
            <w:tcBorders/>
          </w:tcPr>
          <w:p>
            <w:pPr>
              <w:pStyle w:val="TableContents"/>
              <w:bidi w:val="0"/>
              <w:spacing w:before="0" w:after="283"/>
              <w:jc w:val="left"/>
              <w:rPr>
                <w:sz w:val="4"/>
                <w:szCs w:val="4"/>
              </w:rPr>
            </w:pPr>
            <w:r>
              <w:rPr>
                <w:sz w:val="4"/>
                <w:szCs w:val="4"/>
              </w:rPr>
            </w:r>
          </w:p>
        </w:tc>
      </w:tr>
      <w:tr>
        <w:trPr/>
        <w:tc>
          <w:tcPr>
            <w:tcW w:w="3415" w:type="dxa"/>
            <w:tcBorders/>
            <w:vAlign w:val="center"/>
          </w:tcPr>
          <w:p>
            <w:pPr>
              <w:pStyle w:val="TableContents"/>
              <w:bidi w:val="0"/>
              <w:spacing w:before="0" w:after="283"/>
              <w:jc w:val="left"/>
              <w:rPr>
                <w:b/>
              </w:rPr>
            </w:pPr>
            <w:r>
              <w:rPr>
                <w:b/>
              </w:rPr>
              <w:t xml:space="preserve">ENIGMATIG LTD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989" w:type="dxa"/>
        <w:jc w:val="left"/>
        <w:tblInd w:w="0" w:type="dxa"/>
        <w:tblLayout w:type="fixed"/>
        <w:tblCellMar>
          <w:top w:w="28" w:type="dxa"/>
          <w:left w:w="28" w:type="dxa"/>
          <w:bottom w:w="28" w:type="dxa"/>
          <w:right w:w="28" w:type="dxa"/>
        </w:tblCellMar>
      </w:tblPr>
      <w:tblGrid>
        <w:gridCol w:w="1126"/>
        <w:gridCol w:w="226"/>
        <w:gridCol w:w="1246"/>
        <w:gridCol w:w="1126"/>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2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98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126" w:type="dxa"/>
            <w:tcBorders/>
            <w:shd w:fill="E7E7E2" w:val="clear"/>
            <w:vAlign w:val="center"/>
          </w:tcPr>
          <w:p>
            <w:pPr>
              <w:pStyle w:val="TableContents"/>
              <w:bidi w:val="0"/>
              <w:spacing w:before="0" w:after="283"/>
              <w:jc w:val="left"/>
              <w:rPr/>
            </w:pPr>
            <w:r>
              <w:rPr/>
              <w:t xml:space="preserve">Class A ordinary shares, par value $0.000002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126" w:type="dxa"/>
            <w:tcBorders/>
            <w:shd w:fill="E7E7E2" w:val="clear"/>
            <w:vAlign w:val="center"/>
          </w:tcPr>
          <w:p>
            <w:pPr>
              <w:pStyle w:val="TableContents"/>
              <w:bidi w:val="0"/>
              <w:spacing w:before="0" w:after="283"/>
              <w:jc w:val="left"/>
              <w:rPr/>
            </w:pPr>
            <w:r>
              <w:rPr/>
              <w:t xml:space="preserve">Preferred Shares, $0.000002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126"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126"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126" w:type="dxa"/>
            <w:tcBorders/>
            <w:shd w:fill="E7E7E2" w:val="clear"/>
            <w:vAlign w:val="center"/>
          </w:tcPr>
          <w:p>
            <w:pPr>
              <w:pStyle w:val="TableContents"/>
              <w:bidi w:val="0"/>
              <w:spacing w:before="0" w:after="283"/>
              <w:jc w:val="left"/>
              <w:rPr/>
            </w:pPr>
            <w:r>
              <w:rPr/>
              <w:t xml:space="preserve">Rights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126"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$ 100,000,000.00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$ 13,810.00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98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58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2" w:name="MaxAggtOfferingPrice"/>
            <w:bookmarkEnd w:id="32"/>
            <w:r>
              <w:rPr/>
              <w:t xml:space="preserve">$ 100,000,000.00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3" w:name="TotalFeeAmt"/>
            <w:bookmarkEnd w:id="33"/>
            <w:r>
              <w:rPr/>
              <w:t xml:space="preserve">$ 13,810.00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58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4" w:name="TotalPreviouslyPaidAmt"/>
            <w:bookmarkEnd w:id="3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58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5" w:name="TotalOffset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58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NetFeeAmt"/>
            <w:bookmarkEnd w:id="36"/>
            <w:r>
              <w:rPr/>
              <w:t xml:space="preserve">$ 13,810.00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8"/>
        <w:gridCol w:w="8706"/>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An indeterminate amount or number of the securities of each identified class described in this registration statement is being registered as may from time to time be issued by the registrant at indeterminate prices in U.S. dollars, and subject to Rule 462(b) under the Securities Act, in no event will the aggregate maximum offering price of all securities sold by the registrant pursuant to this registration statement exceed $100,000,000 or the equivalent thereof in one or more foreign currencies, foreign currency units or composite currencies. The proposed maximum aggregate offering price for each class of securities will be determined from time to time by the registrant in connection with the issuance by the registrant of the securities registered hereunder and is not specified as to each class of securities pursuant to General Instruction II.G. of Form F-3 under the Securities Act. Estimated solely for the purposes of calculating the registration fee pursuant to Rule 457(o) of Regulation C under the Securities Act.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982961/000149315226006963/form20-f.htm" TargetMode="External"/><Relationship Id="rId5" Type="http://schemas.openxmlformats.org/officeDocument/2006/relationships/hyperlink" Target="https://www.sec.gov/Archives/edgar/data/1982961/000149315226036571/ex99-1.htm" TargetMode="External"/><Relationship Id="rId6" Type="http://schemas.openxmlformats.org/officeDocument/2006/relationships/hyperlink" Target="https://www.sec.gov/Archives/edgar/data/1982961/000149315226033978/ex99-1.htm" TargetMode="External"/><Relationship Id="rId7" Type="http://schemas.openxmlformats.org/officeDocument/2006/relationships/hyperlink" Target="https://www.sec.gov/Archives/edgar/data/1982961/000149315226027600/ex99-1.htm" TargetMode="External"/><Relationship Id="rId8" Type="http://schemas.openxmlformats.org/officeDocument/2006/relationships/hyperlink" Target="https://www.sec.gov/Archives/edgar/data/1982961/000149315226007175/ex99-1.htm" TargetMode="External"/><Relationship Id="rId9" Type="http://schemas.openxmlformats.org/officeDocument/2006/relationships/hyperlink" Target="https://www.sec.gov/Archives/edgar/data/1982961/000164117225020508/ex99-1.htm" TargetMode="External"/><Relationship Id="rId10" Type="http://schemas.openxmlformats.org/officeDocument/2006/relationships/hyperlink" Target="https://www.sec.gov/Archives/edgar/data/1982961/000164117225015007/form8a-12b.htm" TargetMode="External"/><Relationship Id="rId11" Type="http://schemas.openxmlformats.org/officeDocument/2006/relationships/image" Target="media/image1.jpeg"/><Relationship Id="rId12" Type="http://schemas.openxmlformats.org/officeDocument/2006/relationships/hyperlink" Target="https://www.sec.gov/Archives/edgar/data/1982961/000164117225004947/ex3-1.htm" TargetMode="External"/><Relationship Id="rId13" Type="http://schemas.openxmlformats.org/officeDocument/2006/relationships/hyperlink" Target="https://www.sec.gov/Archives/edgar/data/1982961/000164117225004947/ex4-1.htm" TargetMode="External"/><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26730</Words>
  <Characters>139619</Characters>
  <CharactersWithSpaces>166289</CharactersWithSpaces>
  <Paragraphs>1922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